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UNITED STATES OF AMERICA</w:t>
      </w:r>
    </w:p>
    <w:p>
      <w:pPr>
        <w:jc w:val="center"/>
        <w:ind w:right="21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tabs>
          <w:tab w:leader="none" w:pos="2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Application of Northeast</w:t>
            </w:r>
          </w:p>
        </w:tc>
        <w:tc>
          <w:tcPr>
            <w:tcW w:w="8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CERTIFICATE PURSUANT TO</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Utilities, Charter Oak Energy )</w:t>
            </w:r>
          </w:p>
        </w:tc>
        <w:tc>
          <w:tcPr>
            <w:tcW w:w="3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RULE 24 UNDER THE PUBLIC</w:t>
            </w:r>
          </w:p>
        </w:tc>
      </w:tr>
      <w:tr>
        <w:trPr>
          <w:trHeight w:val="203"/>
        </w:trPr>
        <w:tc>
          <w:tcPr>
            <w:tcW w:w="2860" w:type="dxa"/>
            <w:vAlign w:val="bottom"/>
          </w:tcPr>
          <w:p>
            <w:pPr>
              <w:spacing w:after="0"/>
              <w:rPr>
                <w:sz w:val="17"/>
                <w:szCs w:val="17"/>
                <w:color w:val="auto"/>
              </w:rPr>
            </w:pP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UTILITY HOLDING COMPANY ACT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 and COE Development</w:t>
            </w: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 1935</w:t>
            </w:r>
          </w:p>
        </w:tc>
      </w:tr>
      <w:tr>
        <w:trPr>
          <w:trHeight w:val="203"/>
        </w:trPr>
        <w:tc>
          <w:tcPr>
            <w:tcW w:w="2860" w:type="dxa"/>
            <w:vAlign w:val="bottom"/>
          </w:tcPr>
          <w:p>
            <w:pPr>
              <w:spacing w:after="0"/>
              <w:rPr>
                <w:sz w:val="17"/>
                <w:szCs w:val="17"/>
                <w:color w:val="auto"/>
              </w:rPr>
            </w:pP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 on Form U-1</w:t>
            </w: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(File No. 70-8062)</w:t>
            </w: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Pursuant to the requirements of Rule 24 under the Public Utility Holding Company Act of 1935, Charter Oak Energy, Inc. ("Charter Oak"), a wholly-owned subsidiary of Northeast Utilities ("NU"), a registered holding company, hereby files this quarterly report as required by the Securities and Exchange Commission's supplemental order authorizing preliminary development activities and financing related to such activities and to acquisitions of interests in exempt wholesale generators ("EWGs") and foreign utility companies ("FUCOs") by Charter Oak (HCAR. No. 25977, January 24, 1994, File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 70-8062; HCAR. No. 26116, September 2, 1994, File No. 70-8062; and HCAR. No.</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26134, September 30, 1994, File No. 70-8062).</w:t>
      </w:r>
    </w:p>
    <w:p>
      <w:pPr>
        <w:spacing w:after="0" w:line="207" w:lineRule="exact"/>
        <w:rPr>
          <w:sz w:val="24"/>
          <w:szCs w:val="24"/>
          <w:color w:val="auto"/>
        </w:rPr>
      </w:pPr>
    </w:p>
    <w:p>
      <w:pPr>
        <w:ind w:left="1060" w:right="5579" w:hanging="1052"/>
        <w:spacing w:after="0" w:line="470" w:lineRule="auto"/>
        <w:tabs>
          <w:tab w:leader="none" w:pos="53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BALANCE SHEET AS OF SEPTEMBER 30, 1994: See Attached.</w:t>
      </w:r>
    </w:p>
    <w:p>
      <w:pPr>
        <w:spacing w:after="0" w:line="11" w:lineRule="exact"/>
        <w:rPr>
          <w:rFonts w:ascii="Courier New" w:cs="Courier New" w:eastAsia="Courier New" w:hAnsi="Courier New"/>
          <w:sz w:val="18"/>
          <w:szCs w:val="18"/>
          <w:color w:val="auto"/>
        </w:rPr>
      </w:pPr>
    </w:p>
    <w:p>
      <w:pPr>
        <w:ind w:left="1060" w:right="3579" w:hanging="1052"/>
        <w:spacing w:after="0" w:line="470" w:lineRule="auto"/>
        <w:tabs>
          <w:tab w:leader="none" w:pos="53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STATEMENT FOR THE QUARTER ENDED SEPTEMBER 30, 1994: See Attached.</w:t>
      </w:r>
    </w:p>
    <w:p>
      <w:pPr>
        <w:spacing w:after="0" w:line="11"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DESCRIPTION OF THE ACTIVITIES OF CHARTER OAK FOR THE QUARTER ENDED SEPTEMBER 30, 1994, AND OF THE PROJECTS IN WHICH CHARTER OAK OR ITS SUBSIDIARIES HAVE AN INTEREST.</w:t>
      </w:r>
    </w:p>
    <w:p>
      <w:pPr>
        <w:spacing w:after="0" w:line="209"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During the third quarter of 1994, pursuant to the permission granted by the Commission in the December 30, 1992 (HCAR. No. 25726), January 24</w:t>
      </w:r>
    </w:p>
    <w:p>
      <w:pPr>
        <w:spacing w:after="0" w:line="6"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(HCAR. No. 25977), September 2, 1994 (HCAR. No. 26116), and September 30, 1994 (HCAR. No. 26134) orders, Charter Oak, through its wholly-owned subsidiary COE Development Corporation ("COE Development"), has participated in preliminary development activities for potential qualifying cogeneration and small power production facilities (collectively, "QFs"), independent power projects ("IPPs"), EWGs, and FUCOs. These activities have been performed by COE Development both on its own and with unaffiliated third parties. The relationships between COE Development and such unaffiliated third parties have been in the form of cost-sharing contractual arrangements and have not involved the formation of corporations, partnerships, joint ventures or other business entities.</w:t>
      </w:r>
    </w:p>
    <w:p>
      <w:pPr>
        <w:spacing w:after="0" w:line="200" w:lineRule="exact"/>
        <w:rPr>
          <w:sz w:val="24"/>
          <w:szCs w:val="24"/>
          <w:color w:val="auto"/>
        </w:rPr>
      </w:pPr>
    </w:p>
    <w:p>
      <w:pPr>
        <w:spacing w:after="0" w:line="219"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January 24, 1994, September 2, 1994, and September 30, 1994 the Commission authorized NU to make investments in Charter Oak, and Charter Oak to make investments in COE Development, in the amount of up to $100 million, through December 30, 1994, for preliminary development activities and for acquisitions of interests in QFs, EWGs, FUCOs, and IPPs. This authorization includes preliminary development of domestic projects as well as investments in EWGs and FUCOs.</w:t>
      </w:r>
    </w:p>
    <w:p>
      <w:pPr>
        <w:spacing w:after="0" w:line="211"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COE Development is engaged in development activities associated with an 114 MW natural gas-fired project located in the Republic of Argentina.</w:t>
      </w:r>
    </w:p>
    <w:p>
      <w:pPr>
        <w:spacing w:after="0" w:line="208" w:lineRule="exact"/>
        <w:rPr>
          <w:sz w:val="24"/>
          <w:szCs w:val="24"/>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Charter Oak, through its wholly-owned subsidiary Charter Oak (Paris), Inc., pursuant to the permission granted by the Commission (HCAR. No. 24893), has an approximately 10% beneficial equity ownership interest in a 213 MW gas-fired operational qualifying cogeneration facility in Paris, Texas.</w:t>
      </w:r>
    </w:p>
    <w:p>
      <w:pPr>
        <w:spacing w:after="0" w:line="182" w:lineRule="exact"/>
        <w:rPr>
          <w:sz w:val="24"/>
          <w:szCs w:val="24"/>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On September 24, 1993, NU was granted permission (HCAR. No. 70-8084) to invest up to $7 million in Charter Oak for the purchase of an interest in two non-utility subsidiaries to own an interest in a foreign utility company, Encoe Partners. Encoe Partners is a general partnership formed for the sole purpose of building, owning and operating a power generating facility in the United Kingdom ("Power Plant") and acquiring a one-third interest in certain rights and obligations under a power contract. The Power Plant is 2.176 MW and will produce power by harnessing the pressure in the natural gas pipeline</w:t>
      </w:r>
    </w:p>
    <w:p>
      <w:pPr>
        <w:sectPr>
          <w:pgSz w:w="11900" w:h="16876" w:orient="portrait"/>
          <w:cols w:equalWidth="0" w:num="1">
            <w:col w:w="10219"/>
          </w:cols>
          <w:pgMar w:left="240" w:top="447" w:right="1440" w:bottom="0" w:gutter="0" w:footer="0" w:header="0"/>
        </w:sectPr>
      </w:pPr>
    </w:p>
    <w:bookmarkStart w:id="1" w:name="page2"/>
    <w:bookmarkEnd w:id="1"/>
    <w:p>
      <w:pPr>
        <w:ind w:right="2619"/>
        <w:spacing w:after="0" w:line="237" w:lineRule="auto"/>
        <w:rPr>
          <w:sz w:val="20"/>
          <w:szCs w:val="20"/>
          <w:color w:val="auto"/>
        </w:rPr>
      </w:pPr>
      <w:r>
        <w:rPr>
          <w:rFonts w:ascii="Courier New" w:cs="Courier New" w:eastAsia="Courier New" w:hAnsi="Courier New"/>
          <w:sz w:val="18"/>
          <w:szCs w:val="18"/>
          <w:color w:val="auto"/>
        </w:rPr>
        <w:t>feeding the 1,875 MW Teesside Project in Teesside, Wilton, Cleveland, England. This transaction was completed by Charter Oak on the close of business on September 30, 1993 by acquiring interests in two non-utility subsidiary companies, COE (UK) Corp. and COE (GENCOE) Corp.</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 this time, none of the other projects Charter Oak is currently pursuing are sufficiently defined enough to move beyond the preliminary development stage and therefore are not contained in this report.</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Public Utility Holding Company Act of 1935, the undersigned company has duly caused this Certificate to be signed on its behalf by the undersigned thereunto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Charter Oak Energy, Inc.</w:t>
      </w:r>
    </w:p>
    <w:p>
      <w:pPr>
        <w:spacing w:after="0" w:line="238" w:lineRule="auto"/>
        <w:rPr>
          <w:sz w:val="20"/>
          <w:szCs w:val="20"/>
          <w:color w:val="auto"/>
        </w:rPr>
      </w:pPr>
      <w:r>
        <w:rPr>
          <w:rFonts w:ascii="Courier New" w:cs="Courier New" w:eastAsia="Courier New" w:hAnsi="Courier New"/>
          <w:sz w:val="18"/>
          <w:szCs w:val="18"/>
          <w:color w:val="auto"/>
        </w:rPr>
        <w:t>/s/ Eugene G. Vertefeuille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w:t>
      </w:r>
    </w:p>
    <w:p>
      <w:pPr>
        <w:spacing w:after="0" w:line="238" w:lineRule="auto"/>
        <w:rPr>
          <w:sz w:val="20"/>
          <w:szCs w:val="20"/>
          <w:color w:val="auto"/>
        </w:rPr>
      </w:pPr>
      <w:r>
        <w:rPr>
          <w:rFonts w:ascii="Courier New" w:cs="Courier New" w:eastAsia="Courier New" w:hAnsi="Courier New"/>
          <w:sz w:val="18"/>
          <w:szCs w:val="18"/>
          <w:color w:val="auto"/>
        </w:rPr>
        <w:t>Charter Oak Energy, Inc.</w:t>
      </w:r>
    </w:p>
    <w:p>
      <w:pPr>
        <w:spacing w:after="0"/>
        <w:rPr>
          <w:sz w:val="20"/>
          <w:szCs w:val="20"/>
          <w:color w:val="auto"/>
        </w:rPr>
      </w:pPr>
      <w:r>
        <w:rPr>
          <w:rFonts w:ascii="Courier New" w:cs="Courier New" w:eastAsia="Courier New" w:hAnsi="Courier New"/>
          <w:sz w:val="18"/>
          <w:szCs w:val="18"/>
          <w:color w:val="auto"/>
        </w:rPr>
        <w:t>34 Hopmeadow Street</w:t>
      </w:r>
    </w:p>
    <w:p>
      <w:pPr>
        <w:spacing w:after="0" w:line="237" w:lineRule="auto"/>
        <w:rPr>
          <w:sz w:val="20"/>
          <w:szCs w:val="20"/>
          <w:color w:val="auto"/>
        </w:rPr>
      </w:pPr>
      <w:r>
        <w:rPr>
          <w:rFonts w:ascii="Courier New" w:cs="Courier New" w:eastAsia="Courier New" w:hAnsi="Courier New"/>
          <w:sz w:val="18"/>
          <w:szCs w:val="18"/>
          <w:color w:val="auto"/>
        </w:rPr>
        <w:t>P.O. Box 576</w:t>
      </w:r>
    </w:p>
    <w:p>
      <w:pPr>
        <w:spacing w:after="0"/>
        <w:tabs>
          <w:tab w:leader="none" w:pos="1460" w:val="left"/>
        </w:tabs>
        <w:rPr>
          <w:sz w:val="20"/>
          <w:szCs w:val="20"/>
          <w:color w:val="auto"/>
        </w:rPr>
      </w:pPr>
      <w:r>
        <w:rPr>
          <w:rFonts w:ascii="Courier New" w:cs="Courier New" w:eastAsia="Courier New" w:hAnsi="Courier New"/>
          <w:sz w:val="18"/>
          <w:szCs w:val="18"/>
          <w:color w:val="auto"/>
        </w:rPr>
        <w:t>Simsbury, CT</w:t>
      </w:r>
      <w:r>
        <w:rPr>
          <w:sz w:val="20"/>
          <w:szCs w:val="20"/>
          <w:color w:val="auto"/>
        </w:rPr>
        <w:tab/>
      </w:r>
      <w:r>
        <w:rPr>
          <w:rFonts w:ascii="Courier New" w:cs="Courier New" w:eastAsia="Courier New" w:hAnsi="Courier New"/>
          <w:sz w:val="16"/>
          <w:szCs w:val="16"/>
          <w:color w:val="auto"/>
        </w:rPr>
        <w:t>06070-0576</w:t>
      </w:r>
    </w:p>
    <w:p>
      <w:pPr>
        <w:spacing w:after="0"/>
        <w:rPr>
          <w:sz w:val="20"/>
          <w:szCs w:val="20"/>
          <w:color w:val="auto"/>
        </w:rPr>
      </w:pPr>
      <w:r>
        <w:rPr>
          <w:rFonts w:ascii="Courier New" w:cs="Courier New" w:eastAsia="Courier New" w:hAnsi="Courier New"/>
          <w:sz w:val="18"/>
          <w:szCs w:val="18"/>
          <w:color w:val="auto"/>
        </w:rPr>
        <w:t>November 30,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CHARTER OAK ENERGY, INC. AND SUBSIDIARIES</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CONSOLIDATED BALANCE SHEETS (UNAUDITED)</w:t>
      </w:r>
    </w:p>
    <w:p>
      <w:pPr>
        <w:ind w:left="170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20" w:type="dxa"/>
            <w:vAlign w:val="bottom"/>
            <w:gridSpan w:val="3"/>
          </w:tcPr>
          <w:p>
            <w:pPr>
              <w:jc w:val="right"/>
              <w:ind w:right="532"/>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380" w:type="dxa"/>
            <w:vAlign w:val="bottom"/>
          </w:tcPr>
          <w:p>
            <w:pPr>
              <w:spacing w:after="0"/>
              <w:rPr>
                <w:sz w:val="17"/>
                <w:szCs w:val="17"/>
                <w:color w:val="auto"/>
              </w:rPr>
            </w:pPr>
          </w:p>
        </w:tc>
        <w:tc>
          <w:tcPr>
            <w:tcW w:w="310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4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4380" w:type="dxa"/>
            <w:vAlign w:val="bottom"/>
          </w:tcPr>
          <w:p>
            <w:pPr>
              <w:spacing w:after="0"/>
              <w:rPr>
                <w:sz w:val="17"/>
                <w:szCs w:val="17"/>
                <w:color w:val="auto"/>
              </w:rPr>
            </w:pPr>
          </w:p>
        </w:tc>
        <w:tc>
          <w:tcPr>
            <w:tcW w:w="1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2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(Thousands of Dollars)</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Utility Plant, at original cost:</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Electric</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Less:  Accumulated provision for</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depreciation</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w:t>
            </w:r>
          </w:p>
        </w:tc>
        <w:tc>
          <w:tcPr>
            <w:tcW w:w="4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4380" w:type="dxa"/>
            <w:vAlign w:val="bottom"/>
          </w:tcPr>
          <w:p>
            <w:pPr>
              <w:spacing w:after="0"/>
              <w:rPr>
                <w:sz w:val="17"/>
                <w:szCs w:val="17"/>
                <w:color w:val="auto"/>
              </w:rPr>
            </w:pPr>
          </w:p>
        </w:tc>
        <w:tc>
          <w:tcPr>
            <w:tcW w:w="1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net utility plant</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4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380" w:type="dxa"/>
            <w:vAlign w:val="bottom"/>
          </w:tcPr>
          <w:p>
            <w:pPr>
              <w:spacing w:after="0"/>
              <w:rPr>
                <w:sz w:val="17"/>
                <w:szCs w:val="17"/>
                <w:color w:val="auto"/>
              </w:rPr>
            </w:pPr>
          </w:p>
        </w:tc>
        <w:tc>
          <w:tcPr>
            <w:tcW w:w="1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Investments, at cost</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6,267</w:t>
            </w:r>
          </w:p>
        </w:tc>
        <w:tc>
          <w:tcPr>
            <w:tcW w:w="4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7,416</w:t>
            </w:r>
          </w:p>
        </w:tc>
      </w:tr>
      <w:tr>
        <w:trPr>
          <w:trHeight w:val="203"/>
        </w:trPr>
        <w:tc>
          <w:tcPr>
            <w:tcW w:w="4380" w:type="dxa"/>
            <w:vAlign w:val="bottom"/>
          </w:tcPr>
          <w:p>
            <w:pPr>
              <w:spacing w:after="0"/>
              <w:rPr>
                <w:sz w:val="17"/>
                <w:szCs w:val="17"/>
                <w:color w:val="auto"/>
              </w:rPr>
            </w:pPr>
          </w:p>
        </w:tc>
        <w:tc>
          <w:tcPr>
            <w:tcW w:w="1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6,329</w:t>
            </w:r>
          </w:p>
        </w:tc>
        <w:tc>
          <w:tcPr>
            <w:tcW w:w="4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2,171</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 from affiliated companies</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4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2,038</w:t>
            </w:r>
          </w:p>
        </w:tc>
      </w:tr>
      <w:tr>
        <w:trPr>
          <w:trHeight w:val="203"/>
        </w:trPr>
        <w:tc>
          <w:tcPr>
            <w:tcW w:w="4380" w:type="dxa"/>
            <w:vAlign w:val="bottom"/>
          </w:tcPr>
          <w:p>
            <w:pPr>
              <w:spacing w:after="0"/>
              <w:rPr>
                <w:sz w:val="17"/>
                <w:szCs w:val="17"/>
                <w:color w:val="auto"/>
              </w:rPr>
            </w:pPr>
          </w:p>
        </w:tc>
        <w:tc>
          <w:tcPr>
            <w:tcW w:w="1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6,330</w:t>
            </w:r>
          </w:p>
        </w:tc>
        <w:tc>
          <w:tcPr>
            <w:tcW w:w="4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4,209</w:t>
            </w:r>
          </w:p>
        </w:tc>
      </w:tr>
      <w:tr>
        <w:trPr>
          <w:trHeight w:val="203"/>
        </w:trPr>
        <w:tc>
          <w:tcPr>
            <w:tcW w:w="4380" w:type="dxa"/>
            <w:vAlign w:val="bottom"/>
          </w:tcPr>
          <w:p>
            <w:pPr>
              <w:spacing w:after="0"/>
              <w:rPr>
                <w:sz w:val="17"/>
                <w:szCs w:val="17"/>
                <w:color w:val="auto"/>
              </w:rPr>
            </w:pPr>
          </w:p>
        </w:tc>
        <w:tc>
          <w:tcPr>
            <w:tcW w:w="1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Charges:</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deferred income taxes</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529</w:t>
            </w:r>
          </w:p>
        </w:tc>
        <w:tc>
          <w:tcPr>
            <w:tcW w:w="4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399</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development costs</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2,447</w:t>
            </w:r>
          </w:p>
        </w:tc>
        <w:tc>
          <w:tcPr>
            <w:tcW w:w="4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2,954</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858</w:t>
            </w:r>
          </w:p>
        </w:tc>
        <w:tc>
          <w:tcPr>
            <w:tcW w:w="4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1,059</w:t>
            </w:r>
          </w:p>
        </w:tc>
      </w:tr>
      <w:tr>
        <w:trPr>
          <w:trHeight w:val="203"/>
        </w:trPr>
        <w:tc>
          <w:tcPr>
            <w:tcW w:w="4380" w:type="dxa"/>
            <w:vAlign w:val="bottom"/>
          </w:tcPr>
          <w:p>
            <w:pPr>
              <w:spacing w:after="0"/>
              <w:rPr>
                <w:sz w:val="17"/>
                <w:szCs w:val="17"/>
                <w:color w:val="auto"/>
              </w:rPr>
            </w:pPr>
          </w:p>
        </w:tc>
        <w:tc>
          <w:tcPr>
            <w:tcW w:w="1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3,834</w:t>
            </w:r>
          </w:p>
        </w:tc>
        <w:tc>
          <w:tcPr>
            <w:tcW w:w="4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4,412</w:t>
            </w:r>
          </w:p>
        </w:tc>
      </w:tr>
      <w:tr>
        <w:trPr>
          <w:trHeight w:val="203"/>
        </w:trPr>
        <w:tc>
          <w:tcPr>
            <w:tcW w:w="4380" w:type="dxa"/>
            <w:vAlign w:val="bottom"/>
          </w:tcPr>
          <w:p>
            <w:pPr>
              <w:spacing w:after="0"/>
              <w:rPr>
                <w:sz w:val="17"/>
                <w:szCs w:val="17"/>
                <w:color w:val="auto"/>
              </w:rPr>
            </w:pPr>
          </w:p>
        </w:tc>
        <w:tc>
          <w:tcPr>
            <w:tcW w:w="1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Assets</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16,439</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16,047</w:t>
            </w:r>
          </w:p>
        </w:tc>
      </w:tr>
      <w:tr>
        <w:trPr>
          <w:trHeight w:val="203"/>
        </w:trPr>
        <w:tc>
          <w:tcPr>
            <w:tcW w:w="4380" w:type="dxa"/>
            <w:vAlign w:val="bottom"/>
          </w:tcPr>
          <w:p>
            <w:pPr>
              <w:spacing w:after="0"/>
              <w:rPr>
                <w:sz w:val="17"/>
                <w:szCs w:val="17"/>
                <w:color w:val="auto"/>
              </w:rPr>
            </w:pPr>
          </w:p>
        </w:tc>
        <w:tc>
          <w:tcPr>
            <w:tcW w:w="1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CAPITALIZATION AND LIABILITIES</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Capitalization:</w:t>
      </w:r>
    </w:p>
    <w:p>
      <w:pPr>
        <w:sectPr>
          <w:pgSz w:w="11900" w:h="16838" w:orient="portrait"/>
          <w:cols w:equalWidth="0" w:num="1">
            <w:col w:w="10219"/>
          </w:cols>
          <w:pgMar w:left="240" w:top="142" w:right="1440" w:bottom="0" w:gutter="0" w:footer="0" w:header="0"/>
        </w:sectPr>
      </w:pPr>
    </w:p>
    <w:p>
      <w:pPr>
        <w:ind w:left="22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Capital surplus, paid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25,236</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22,050</w:t>
      </w:r>
    </w:p>
    <w:p>
      <w:pPr>
        <w:sectPr>
          <w:pgSz w:w="11900" w:h="16838" w:orient="portrait"/>
          <w:cols w:equalWidth="0" w:num="5">
            <w:col w:w="3920" w:space="720"/>
            <w:col w:w="100" w:space="420"/>
            <w:col w:w="640" w:space="420"/>
            <w:col w:w="100" w:space="420"/>
            <w:col w:w="3479"/>
          </w:cols>
          <w:pgMar w:left="240" w:top="142"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rPr>
              <w:t>Retained earnings</w:t>
            </w:r>
          </w:p>
        </w:tc>
        <w:tc>
          <w:tcPr>
            <w:tcW w:w="520" w:type="dxa"/>
            <w:vAlign w:val="bottom"/>
          </w:tcPr>
          <w:p>
            <w:pPr>
              <w:spacing w:after="0"/>
              <w:rPr>
                <w:sz w:val="17"/>
                <w:szCs w:val="17"/>
                <w:color w:val="auto"/>
              </w:rPr>
            </w:pP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(9,875)</w:t>
            </w:r>
          </w:p>
        </w:tc>
        <w:tc>
          <w:tcPr>
            <w:tcW w:w="460" w:type="dxa"/>
            <w:vAlign w:val="bottom"/>
          </w:tcPr>
          <w:p>
            <w:pPr>
              <w:spacing w:after="0"/>
              <w:rPr>
                <w:sz w:val="17"/>
                <w:szCs w:val="17"/>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(6,532)</w:t>
            </w:r>
          </w:p>
        </w:tc>
      </w:tr>
      <w:tr>
        <w:trPr>
          <w:trHeight w:val="203"/>
        </w:trPr>
        <w:tc>
          <w:tcPr>
            <w:tcW w:w="4540" w:type="dxa"/>
            <w:vAlign w:val="bottom"/>
          </w:tcPr>
          <w:p>
            <w:pPr>
              <w:spacing w:after="0"/>
              <w:rPr>
                <w:sz w:val="17"/>
                <w:szCs w:val="17"/>
                <w:color w:val="auto"/>
              </w:rPr>
            </w:pPr>
          </w:p>
        </w:tc>
        <w:tc>
          <w:tcPr>
            <w:tcW w:w="1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capitalization</w:t>
            </w:r>
          </w:p>
        </w:tc>
        <w:tc>
          <w:tcPr>
            <w:tcW w:w="5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15,361</w:t>
            </w:r>
          </w:p>
        </w:tc>
        <w:tc>
          <w:tcPr>
            <w:tcW w:w="4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15,518</w:t>
            </w:r>
          </w:p>
        </w:tc>
      </w:tr>
      <w:tr>
        <w:trPr>
          <w:trHeight w:val="203"/>
        </w:trPr>
        <w:tc>
          <w:tcPr>
            <w:tcW w:w="4540" w:type="dxa"/>
            <w:vAlign w:val="bottom"/>
          </w:tcPr>
          <w:p>
            <w:pPr>
              <w:spacing w:after="0"/>
              <w:rPr>
                <w:sz w:val="17"/>
                <w:szCs w:val="17"/>
                <w:color w:val="auto"/>
              </w:rPr>
            </w:pPr>
          </w:p>
        </w:tc>
        <w:tc>
          <w:tcPr>
            <w:tcW w:w="1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 in common equity</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subsidiaries</w:t>
            </w:r>
          </w:p>
        </w:tc>
        <w:tc>
          <w:tcPr>
            <w:tcW w:w="5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48</w:t>
            </w:r>
          </w:p>
        </w:tc>
        <w:tc>
          <w:tcPr>
            <w:tcW w:w="4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w:t>
            </w:r>
          </w:p>
        </w:tc>
      </w:tr>
      <w:tr>
        <w:trPr>
          <w:trHeight w:val="203"/>
        </w:trPr>
        <w:tc>
          <w:tcPr>
            <w:tcW w:w="4540" w:type="dxa"/>
            <w:vAlign w:val="bottom"/>
          </w:tcPr>
          <w:p>
            <w:pPr>
              <w:spacing w:after="0"/>
              <w:rPr>
                <w:sz w:val="17"/>
                <w:szCs w:val="17"/>
                <w:color w:val="auto"/>
              </w:rPr>
            </w:pPr>
          </w:p>
        </w:tc>
        <w:tc>
          <w:tcPr>
            <w:tcW w:w="1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5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spacing w:after="0"/>
              <w:rPr>
                <w:sz w:val="17"/>
                <w:szCs w:val="17"/>
                <w:color w:val="auto"/>
              </w:rPr>
            </w:pPr>
          </w:p>
        </w:tc>
        <w:tc>
          <w:tcPr>
            <w:tcW w:w="1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Accounts payable to affiliated companies</w:t>
            </w:r>
          </w:p>
        </w:tc>
        <w:tc>
          <w:tcPr>
            <w:tcW w:w="5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132</w:t>
            </w:r>
          </w:p>
        </w:tc>
        <w:tc>
          <w:tcPr>
            <w:tcW w:w="4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Taxes accrued</w:t>
            </w:r>
          </w:p>
        </w:tc>
        <w:tc>
          <w:tcPr>
            <w:tcW w:w="5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836</w:t>
            </w:r>
          </w:p>
        </w:tc>
        <w:tc>
          <w:tcPr>
            <w:tcW w:w="4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256</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5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61</w:t>
            </w:r>
          </w:p>
        </w:tc>
        <w:tc>
          <w:tcPr>
            <w:tcW w:w="4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4540" w:type="dxa"/>
            <w:vAlign w:val="bottom"/>
          </w:tcPr>
          <w:p>
            <w:pPr>
              <w:spacing w:after="0"/>
              <w:rPr>
                <w:sz w:val="17"/>
                <w:szCs w:val="17"/>
                <w:color w:val="auto"/>
              </w:rPr>
            </w:pPr>
          </w:p>
        </w:tc>
        <w:tc>
          <w:tcPr>
            <w:tcW w:w="1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1,030</w:t>
            </w:r>
          </w:p>
        </w:tc>
        <w:tc>
          <w:tcPr>
            <w:tcW w:w="4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400</w:t>
            </w:r>
          </w:p>
        </w:tc>
      </w:tr>
      <w:tr>
        <w:trPr>
          <w:trHeight w:val="203"/>
        </w:trPr>
        <w:tc>
          <w:tcPr>
            <w:tcW w:w="4540" w:type="dxa"/>
            <w:vAlign w:val="bottom"/>
          </w:tcPr>
          <w:p>
            <w:pPr>
              <w:spacing w:after="0"/>
              <w:rPr>
                <w:sz w:val="17"/>
                <w:szCs w:val="17"/>
                <w:color w:val="auto"/>
              </w:rPr>
            </w:pPr>
          </w:p>
        </w:tc>
        <w:tc>
          <w:tcPr>
            <w:tcW w:w="1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ind w:left="420"/>
              <w:spacing w:after="0"/>
              <w:rPr>
                <w:sz w:val="20"/>
                <w:szCs w:val="20"/>
                <w:color w:val="auto"/>
              </w:rPr>
            </w:pPr>
            <w:r>
              <w:rPr>
                <w:rFonts w:ascii="Courier New" w:cs="Courier New" w:eastAsia="Courier New" w:hAnsi="Courier New"/>
                <w:sz w:val="18"/>
                <w:szCs w:val="18"/>
                <w:color w:val="auto"/>
              </w:rPr>
              <w:t>Total Capitalization and Liabilities</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16,439</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16,047</w:t>
            </w:r>
          </w:p>
        </w:tc>
      </w:tr>
      <w:tr>
        <w:trPr>
          <w:trHeight w:val="203"/>
        </w:trPr>
        <w:tc>
          <w:tcPr>
            <w:tcW w:w="4540" w:type="dxa"/>
            <w:vAlign w:val="bottom"/>
          </w:tcPr>
          <w:p>
            <w:pPr>
              <w:spacing w:after="0"/>
              <w:rPr>
                <w:sz w:val="17"/>
                <w:szCs w:val="17"/>
                <w:color w:val="auto"/>
              </w:rPr>
            </w:pPr>
          </w:p>
        </w:tc>
        <w:tc>
          <w:tcPr>
            <w:tcW w:w="1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CHARTER OAK ENERGY, INC. AND SUBSIDIARIES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1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640" w:type="dxa"/>
            <w:vAlign w:val="bottom"/>
            <w:gridSpan w:val="4"/>
          </w:tcPr>
          <w:p>
            <w:pPr>
              <w:ind w:left="1580"/>
              <w:spacing w:after="0" w:line="203" w:lineRule="exact"/>
              <w:rPr>
                <w:sz w:val="20"/>
                <w:szCs w:val="20"/>
                <w:color w:val="auto"/>
              </w:rPr>
            </w:pPr>
            <w:r>
              <w:rPr>
                <w:rFonts w:ascii="Courier New" w:cs="Courier New" w:eastAsia="Courier New" w:hAnsi="Courier New"/>
                <w:sz w:val="18"/>
                <w:szCs w:val="18"/>
                <w:color w:val="auto"/>
              </w:rPr>
              <w:t>CONSOLIDATED STATEMENTS OF INCOME (UNAUDITED)</w:t>
            </w:r>
          </w:p>
        </w:tc>
        <w:tc>
          <w:tcPr>
            <w:tcW w:w="1060" w:type="dxa"/>
            <w:vAlign w:val="bottom"/>
          </w:tcPr>
          <w:p>
            <w:pPr>
              <w:spacing w:after="0"/>
              <w:rPr>
                <w:sz w:val="17"/>
                <w:szCs w:val="17"/>
                <w:color w:val="auto"/>
              </w:rPr>
            </w:pPr>
          </w:p>
        </w:tc>
      </w:tr>
      <w:tr>
        <w:trPr>
          <w:trHeight w:val="203"/>
        </w:trPr>
        <w:tc>
          <w:tcPr>
            <w:tcW w:w="6640" w:type="dxa"/>
            <w:vAlign w:val="bottom"/>
            <w:gridSpan w:val="4"/>
          </w:tcPr>
          <w:p>
            <w:pPr>
              <w:ind w:left="158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r>
      <w:tr>
        <w:trPr>
          <w:trHeight w:val="405"/>
        </w:trPr>
        <w:tc>
          <w:tcPr>
            <w:tcW w:w="4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4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540" w:type="dxa"/>
            <w:vAlign w:val="bottom"/>
          </w:tcPr>
          <w:p>
            <w:pPr>
              <w:spacing w:after="0"/>
              <w:rPr>
                <w:sz w:val="17"/>
                <w:szCs w:val="17"/>
                <w:color w:val="auto"/>
              </w:rPr>
            </w:pPr>
          </w:p>
        </w:tc>
        <w:tc>
          <w:tcPr>
            <w:tcW w:w="3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w:t>
            </w:r>
          </w:p>
        </w:tc>
        <w:tc>
          <w:tcPr>
            <w:tcW w:w="4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45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(Thousands of Dollars)</w:t>
            </w:r>
          </w:p>
        </w:tc>
      </w:tr>
      <w:tr>
        <w:trPr>
          <w:trHeight w:val="608"/>
        </w:trPr>
        <w:tc>
          <w:tcPr>
            <w:tcW w:w="4540" w:type="dxa"/>
            <w:vAlign w:val="bottom"/>
          </w:tcPr>
          <w:p>
            <w:pPr>
              <w:spacing w:after="0"/>
              <w:rPr>
                <w:sz w:val="20"/>
                <w:szCs w:val="20"/>
                <w:color w:val="auto"/>
              </w:rPr>
            </w:pPr>
            <w:r>
              <w:rPr>
                <w:rFonts w:ascii="Courier New" w:cs="Courier New" w:eastAsia="Courier New" w:hAnsi="Courier New"/>
                <w:sz w:val="18"/>
                <w:szCs w:val="18"/>
                <w:color w:val="auto"/>
              </w:rPr>
              <w:t>Operating Revenues</w:t>
            </w:r>
          </w:p>
        </w:tc>
        <w:tc>
          <w:tcPr>
            <w:tcW w:w="52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46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 and maintenance</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1,788</w:t>
            </w:r>
          </w:p>
        </w:tc>
        <w:tc>
          <w:tcPr>
            <w:tcW w:w="4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1,503</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w:t>
            </w:r>
          </w:p>
        </w:tc>
        <w:tc>
          <w:tcPr>
            <w:tcW w:w="4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Federal and state income taxes</w:t>
            </w:r>
          </w:p>
        </w:tc>
        <w:tc>
          <w:tcPr>
            <w:tcW w:w="5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(859)</w:t>
            </w:r>
          </w:p>
        </w:tc>
        <w:tc>
          <w:tcPr>
            <w:tcW w:w="4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Taxes other than income taxes</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4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5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1,098</w:t>
            </w:r>
          </w:p>
        </w:tc>
        <w:tc>
          <w:tcPr>
            <w:tcW w:w="4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945</w:t>
            </w:r>
          </w:p>
        </w:tc>
      </w:tr>
      <w:tr>
        <w:trPr>
          <w:trHeight w:val="203"/>
        </w:trPr>
        <w:tc>
          <w:tcPr>
            <w:tcW w:w="45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Loss</w:t>
            </w:r>
          </w:p>
        </w:tc>
        <w:tc>
          <w:tcPr>
            <w:tcW w:w="5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(1,098)</w:t>
            </w:r>
          </w:p>
        </w:tc>
        <w:tc>
          <w:tcPr>
            <w:tcW w:w="4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(945)</w:t>
            </w:r>
          </w:p>
        </w:tc>
      </w:tr>
      <w:tr>
        <w:trPr>
          <w:trHeight w:val="203"/>
        </w:trPr>
        <w:tc>
          <w:tcPr>
            <w:tcW w:w="45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Other Income:</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323</w:t>
            </w:r>
          </w:p>
        </w:tc>
        <w:tc>
          <w:tcPr>
            <w:tcW w:w="4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w:t>
            </w:r>
          </w:p>
        </w:tc>
        <w:tc>
          <w:tcPr>
            <w:tcW w:w="4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5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other income</w:t>
            </w:r>
          </w:p>
        </w:tc>
        <w:tc>
          <w:tcPr>
            <w:tcW w:w="5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340</w:t>
            </w:r>
          </w:p>
        </w:tc>
        <w:tc>
          <w:tcPr>
            <w:tcW w:w="4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w:t>
            </w:r>
          </w:p>
        </w:tc>
      </w:tr>
      <w:tr>
        <w:trPr>
          <w:trHeight w:val="203"/>
        </w:trPr>
        <w:tc>
          <w:tcPr>
            <w:tcW w:w="45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before interest charges</w:t>
            </w:r>
          </w:p>
        </w:tc>
        <w:tc>
          <w:tcPr>
            <w:tcW w:w="5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w:t>
            </w:r>
          </w:p>
        </w:tc>
        <w:tc>
          <w:tcPr>
            <w:tcW w:w="4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(672)</w:t>
            </w:r>
          </w:p>
        </w:tc>
      </w:tr>
      <w:tr>
        <w:trPr>
          <w:trHeight w:val="203"/>
        </w:trPr>
        <w:tc>
          <w:tcPr>
            <w:tcW w:w="45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Interest Charges</w:t>
            </w:r>
          </w:p>
        </w:tc>
        <w:tc>
          <w:tcPr>
            <w:tcW w:w="52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w:t>
            </w:r>
          </w:p>
        </w:tc>
        <w:tc>
          <w:tcPr>
            <w:tcW w:w="4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203"/>
        </w:trPr>
        <w:tc>
          <w:tcPr>
            <w:tcW w:w="45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Loss before minority interest in earnings</w:t>
            </w: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(760)</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(673)</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subsidary</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w w:val="99"/>
              </w:rPr>
              <w:t>Minority interest in earnings in subsidary</w:t>
            </w: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460" w:type="dxa"/>
            <w:vAlign w:val="bottom"/>
          </w:tcPr>
          <w:p>
            <w:pPr>
              <w:spacing w:after="0"/>
              <w:rPr>
                <w:sz w:val="24"/>
                <w:szCs w:val="24"/>
                <w:color w:val="auto"/>
              </w:rPr>
            </w:pP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(752)</w:t>
            </w:r>
          </w:p>
        </w:tc>
        <w:tc>
          <w:tcPr>
            <w:tcW w:w="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(673)</w:t>
            </w:r>
          </w:p>
        </w:tc>
      </w:tr>
      <w:tr>
        <w:trPr>
          <w:trHeight w:val="203"/>
        </w:trPr>
        <w:tc>
          <w:tcPr>
            <w:tcW w:w="45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2019-12-13T05:45:07Z</dcterms:created>
  <dcterms:modified xsi:type="dcterms:W3CDTF">2019-12-13T05:45:07Z</dcterms:modified>
</cp:coreProperties>
</file>