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BUTLER GREGORY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EVERSOURCE ENERGY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PROSPECT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HARTFORD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EVERSOURCE ENERGY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5"/>
        <w:gridCol w:w="902"/>
        <w:gridCol w:w="771"/>
        <w:gridCol w:w="599"/>
        <w:gridCol w:w="349"/>
        <w:gridCol w:w="850"/>
        <w:gridCol w:w="458"/>
        <w:gridCol w:w="756"/>
        <w:gridCol w:w="1168"/>
        <w:gridCol w:w="1001"/>
        <w:gridCol w:w="93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$5.00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69.88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$5.00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 Trustee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Shares, $5.00 par value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share units and dividend equivalents thereon.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in trust under the Eversource 401k Plan, a qualified plan, according to information supplied by the Plan's record keeper.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Reporting Person's deferred compensation under the Eversource Deferred Compensation Plan, a non-qualified plan, that is nominally invested as common shares. Each phantom share represents the right to receive one common share upon a distribution event, following vesting. Additional phantom shares are issued upon the automatic reinvestment of dividend-equivalents and are exempt from the line item reporting under SEC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J. Tomasevich, attorney-in-fact for Mr. Butler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2333" TargetMode="External"/><Relationship Id="rId5" Type="http://schemas.openxmlformats.org/officeDocument/2006/relationships/hyperlink" Target="http://www.sec.gov/cgi-bin/browse-edgar?action=getcompany&amp;CIK=00000727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686</Words>
  <Characters>3766</Characters>
  <CharactersWithSpaces>4383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