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440"/>
        <w:spacing w:after="0" w:line="238" w:lineRule="auto"/>
        <w:rPr>
          <w:sz w:val="20"/>
          <w:szCs w:val="20"/>
          <w:color w:val="auto"/>
        </w:rPr>
      </w:pPr>
      <w:r>
        <w:rPr>
          <w:rFonts w:ascii="Courier New" w:cs="Courier New" w:eastAsia="Courier New" w:hAnsi="Courier New"/>
          <w:sz w:val="18"/>
          <w:szCs w:val="18"/>
          <w:color w:val="auto"/>
        </w:rPr>
        <w:t>WASHINGTON, D.C. 20549-1004</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ind w:left="22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Date of Report (Date of earliest event reported) December 31, 1994</w:t>
      </w:r>
    </w:p>
    <w:p>
      <w:pPr>
        <w:spacing w:after="0" w:line="21"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1-5324</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NORTHEAST UTILITIES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CONNECTICUT</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04-2147929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77" w:orient="portrait"/>
          <w:cols w:equalWidth="0" w:num="2">
            <w:col w:w="4140" w:space="720"/>
            <w:col w:w="5359"/>
          </w:cols>
          <w:pgMar w:left="240" w:top="244" w:right="1440" w:bottom="0" w:gutter="0" w:footer="0" w:header="0"/>
          <w:type w:val="continuous"/>
        </w:sectPr>
      </w:pPr>
    </w:p>
    <w:p>
      <w:pPr>
        <w:spacing w:after="0" w:line="7" w:lineRule="exact"/>
        <w:rPr>
          <w:sz w:val="24"/>
          <w:szCs w:val="24"/>
          <w:color w:val="auto"/>
        </w:rPr>
      </w:pPr>
    </w:p>
    <w:p>
      <w:pPr>
        <w:jc w:val="right"/>
        <w:ind w:left="540" w:right="220"/>
        <w:spacing w:after="0" w:line="290" w:lineRule="auto"/>
        <w:rPr>
          <w:sz w:val="20"/>
          <w:szCs w:val="20"/>
          <w:color w:val="auto"/>
        </w:rPr>
      </w:pPr>
      <w:r>
        <w:rPr>
          <w:rFonts w:ascii="Courier New" w:cs="Courier New" w:eastAsia="Courier New" w:hAnsi="Courier New"/>
          <w:sz w:val="16"/>
          <w:szCs w:val="16"/>
          <w:color w:val="auto"/>
        </w:rPr>
        <w:t>(State of other jurisdiction of incorporation or organization)</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54" w:lineRule="exact"/>
        <w:rPr>
          <w:sz w:val="24"/>
          <w:szCs w:val="24"/>
          <w:color w:val="auto"/>
        </w:rPr>
      </w:pPr>
    </w:p>
    <w:p>
      <w:pPr>
        <w:sectPr>
          <w:pgSz w:w="11900" w:h="16877" w:orient="portrait"/>
          <w:cols w:equalWidth="0" w:num="2">
            <w:col w:w="4020" w:space="720"/>
            <w:col w:w="5479"/>
          </w:cols>
          <w:pgMar w:left="240" w:top="244" w:right="1440" w:bottom="0" w:gutter="0" w:footer="0" w:header="0"/>
          <w:type w:val="continuous"/>
        </w:sectPr>
      </w:pPr>
    </w:p>
    <w:p>
      <w:pPr>
        <w:spacing w:after="0" w:line="16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174 BRUSH HILL AVENUE, WEST SPRINGFIELD, MASSACHUSETTS 01090-0010</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officers)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(413) 785-5871</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(Former name of former address, if changed since last report)</w:t>
      </w:r>
    </w:p>
    <w:p>
      <w:pPr>
        <w:spacing w:after="0" w:line="200" w:lineRule="exact"/>
        <w:rPr>
          <w:sz w:val="24"/>
          <w:szCs w:val="24"/>
          <w:color w:val="auto"/>
        </w:rPr>
      </w:pP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Nuclear Operations</w:t>
      </w:r>
    </w:p>
    <w:p>
      <w:pPr>
        <w:spacing w:after="0" w:line="207"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Overall capacity factors for the five nuclear power plants operated by subsidiaries of Northeast Utilities in 1994 fell to 67.5%, compared to 80.8% in 1993. A summary of these results follows: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1994 Actual</w:t>
            </w:r>
          </w:p>
        </w:tc>
        <w:tc>
          <w:tcPr>
            <w:tcW w:w="12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1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Unit</w:t>
            </w:r>
          </w:p>
        </w:tc>
        <w:tc>
          <w:tcPr>
            <w:tcW w:w="1000" w:type="dxa"/>
            <w:vAlign w:val="bottom"/>
          </w:tcPr>
          <w:p>
            <w:pPr>
              <w:spacing w:after="0"/>
              <w:rPr>
                <w:sz w:val="17"/>
                <w:szCs w:val="17"/>
                <w:color w:val="auto"/>
              </w:rPr>
            </w:pPr>
          </w:p>
        </w:tc>
        <w:tc>
          <w:tcPr>
            <w:tcW w:w="2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(Preliminary)</w:t>
            </w:r>
          </w:p>
        </w:tc>
        <w:tc>
          <w:tcPr>
            <w:tcW w:w="12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Goal</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Connecticut Yankee</w:t>
            </w:r>
          </w:p>
        </w:tc>
        <w:tc>
          <w:tcPr>
            <w:tcW w:w="216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75.4%</w:t>
            </w:r>
          </w:p>
        </w:tc>
        <w:tc>
          <w:tcPr>
            <w:tcW w:w="1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Millstone Unit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w:t>
            </w:r>
          </w:p>
        </w:tc>
        <w:tc>
          <w:tcPr>
            <w:tcW w:w="104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Millstone Unit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Two</w:t>
            </w:r>
          </w:p>
        </w:tc>
        <w:tc>
          <w:tcPr>
            <w:tcW w:w="104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48.2%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Millstone Unit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Three</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94.0%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w:t>
            </w:r>
          </w:p>
        </w:tc>
        <w:tc>
          <w:tcPr>
            <w:tcW w:w="12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Seabrook</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61.6%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Five unit average</w:t>
            </w:r>
          </w:p>
        </w:tc>
        <w:tc>
          <w:tcPr>
            <w:tcW w:w="104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67.5%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w:t>
            </w:r>
          </w:p>
        </w:tc>
      </w:tr>
    </w:tbl>
    <w:p>
      <w:pPr>
        <w:spacing w:after="0" w:line="207" w:lineRule="exact"/>
        <w:rPr>
          <w:sz w:val="24"/>
          <w:szCs w:val="24"/>
          <w:color w:val="auto"/>
        </w:rPr>
      </w:pPr>
    </w:p>
    <w:p>
      <w:pPr>
        <w:ind w:right="2519" w:firstLine="105"/>
        <w:spacing w:after="0" w:line="236" w:lineRule="auto"/>
        <w:rPr>
          <w:sz w:val="20"/>
          <w:szCs w:val="20"/>
          <w:color w:val="auto"/>
        </w:rPr>
      </w:pPr>
      <w:r>
        <w:rPr>
          <w:rFonts w:ascii="Courier New" w:cs="Courier New" w:eastAsia="Courier New" w:hAnsi="Courier New"/>
          <w:sz w:val="18"/>
          <w:szCs w:val="18"/>
          <w:color w:val="auto"/>
        </w:rPr>
        <w:t>The lower 1994 composite capacity factor was primarily the result of extended refueling and maintenance outages at Millstone Unit 1, Millstone Unit 2 and Seabrook nuclear power plants.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On October</w:t>
            </w:r>
          </w:p>
        </w:tc>
        <w:tc>
          <w:tcPr>
            <w:tcW w:w="2780" w:type="dxa"/>
            <w:vAlign w:val="bottom"/>
            <w:gridSpan w:val="3"/>
          </w:tcPr>
          <w:p>
            <w:pPr>
              <w:spacing w:after="0"/>
              <w:rPr>
                <w:sz w:val="20"/>
                <w:szCs w:val="20"/>
                <w:color w:val="auto"/>
              </w:rPr>
            </w:pPr>
            <w:r>
              <w:rPr>
                <w:rFonts w:ascii="Courier New" w:cs="Courier New" w:eastAsia="Courier New" w:hAnsi="Courier New"/>
                <w:sz w:val="18"/>
                <w:szCs w:val="18"/>
                <w:color w:val="auto"/>
                <w:w w:val="98"/>
              </w:rPr>
              <w:t>1, 1994, Millstone 2 began</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9"/>
              </w:rPr>
              <w:t>a planned refueling</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52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maintenance</w:t>
            </w:r>
          </w:p>
        </w:tc>
        <w:tc>
          <w:tcPr>
            <w:tcW w:w="2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outage that was originally</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scheduled for 63 days.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Millstone 2 is</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100% owned by NU's subsidiaries</w:t>
            </w:r>
          </w:p>
        </w:tc>
        <w:tc>
          <w:tcPr>
            <w:tcW w:w="4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 Connecticut Light and Power Company</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(CL&amp;P)and Western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Massachusetts</w:t>
            </w:r>
          </w:p>
        </w:tc>
        <w:tc>
          <w:tcPr>
            <w:tcW w:w="2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Electric Company (WMECO).</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outage has</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encountered</w:t>
            </w:r>
          </w:p>
        </w:tc>
        <w:tc>
          <w:tcPr>
            <w:tcW w:w="68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several unexpected difficulties which have lengthened the</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duration of</w:t>
            </w:r>
          </w:p>
        </w:tc>
        <w:tc>
          <w:tcPr>
            <w:tcW w:w="2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outage.  The magnitude</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the schedule impact is currently</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review, but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outage is</w:t>
            </w: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presently expected to last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through at least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early March.</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CL&amp;P expects that</w:t>
            </w: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replacement power costs in</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range of $5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 per</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will be attributable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the extension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outage.</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Recovery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these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costs will be</w:t>
            </w: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subject to scrutiny by the</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DPUC.</w:t>
            </w:r>
          </w:p>
        </w:tc>
      </w:tr>
    </w:tbl>
    <w:p>
      <w:pPr>
        <w:spacing w:after="0" w:line="207" w:lineRule="exact"/>
        <w:rPr>
          <w:sz w:val="24"/>
          <w:szCs w:val="24"/>
          <w:color w:val="auto"/>
        </w:rPr>
      </w:pPr>
    </w:p>
    <w:p>
      <w:pPr>
        <w:ind w:right="2099" w:firstLine="105"/>
        <w:spacing w:after="0" w:line="273" w:lineRule="auto"/>
        <w:rPr>
          <w:sz w:val="20"/>
          <w:szCs w:val="20"/>
          <w:color w:val="auto"/>
        </w:rPr>
      </w:pPr>
      <w:r>
        <w:rPr>
          <w:rFonts w:ascii="Courier New" w:cs="Courier New" w:eastAsia="Courier New" w:hAnsi="Courier New"/>
          <w:sz w:val="16"/>
          <w:szCs w:val="16"/>
          <w:color w:val="auto"/>
        </w:rPr>
        <w:t>The Nuclear Regulatory Commission's (NRC) latest Systematic Assessment of Licensee Performance (SALP) report for the Millstone Station, issued August 26, 1994, noted significant weaknesses in Millstone 2's operations and maintenance, in particular, but also observed that the unit had been operated in a safe manner. In a recent public statement, a senior NRC official</w:t>
      </w:r>
    </w:p>
    <w:p>
      <w:pPr>
        <w:sectPr>
          <w:pgSz w:w="11900" w:h="16877" w:orient="portrait"/>
          <w:cols w:equalWidth="0" w:num="1">
            <w:col w:w="10219"/>
          </w:cols>
          <w:pgMar w:left="240" w:top="244" w:right="1440" w:bottom="0" w:gutter="0" w:footer="0" w:header="0"/>
          <w:type w:val="continuous"/>
        </w:sectPr>
      </w:pPr>
    </w:p>
    <w:bookmarkStart w:id="1" w:name="page2"/>
    <w:bookmarkEnd w:id="1"/>
    <w:p>
      <w:pPr>
        <w:ind w:right="2739"/>
        <w:spacing w:after="0" w:line="235" w:lineRule="auto"/>
        <w:rPr>
          <w:sz w:val="20"/>
          <w:szCs w:val="20"/>
          <w:color w:val="auto"/>
        </w:rPr>
      </w:pPr>
      <w:r>
        <w:rPr>
          <w:rFonts w:ascii="Courier New" w:cs="Courier New" w:eastAsia="Courier New" w:hAnsi="Courier New"/>
          <w:sz w:val="18"/>
          <w:szCs w:val="18"/>
          <w:color w:val="auto"/>
        </w:rPr>
        <w:t>expressed disappointment with the continued weaknesses in Millstone 2's performance.</w:t>
      </w:r>
    </w:p>
    <w:p>
      <w:pPr>
        <w:spacing w:after="0" w:line="208"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Management believes that the primary cause of the NRC's disappointment with Millstone 2's performance is that, despite its recognition that there has been significant management attention and action over a period of years, the NRC does not believe it has seen enough objective evidence of improvement in reducing procedural non-compliances and other human errors.</w:t>
      </w:r>
    </w:p>
    <w:p>
      <w:pPr>
        <w:spacing w:after="0" w:line="209"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Management has acknowledged the basis for the NRC's concern with Millstone 2 and has been devoting increased attention to resolving these issues. If the NRC continues to have these or heightened concerns, CL&amp;P and WMECO could be required to expend additional monies to remedy such problems, in amounts not now determinable but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519" w:firstLine="10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NORTHEAST UTILITIES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January 10, 1995</w:t>
      </w:r>
    </w:p>
    <w:p>
      <w:pPr>
        <w:spacing w:after="0" w:line="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Bernard M. Fox</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Bernard M. Fox</w:t>
      </w:r>
    </w:p>
    <w:p>
      <w:pPr>
        <w:ind w:left="2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620"/>
        <w:spacing w:after="0"/>
        <w:rPr>
          <w:sz w:val="20"/>
          <w:szCs w:val="20"/>
          <w:color w:val="auto"/>
        </w:rPr>
      </w:pPr>
      <w:r>
        <w:rPr>
          <w:rFonts w:ascii="Courier New" w:cs="Courier New" w:eastAsia="Courier New" w:hAnsi="Courier New"/>
          <w:sz w:val="18"/>
          <w:szCs w:val="18"/>
          <w:color w:val="auto"/>
        </w:rPr>
        <w:t>Officer</w:t>
      </w:r>
    </w:p>
    <w:sectPr>
      <w:pgSz w:w="11900" w:h="16838" w:orient="portrait"/>
      <w:cols w:equalWidth="0" w:num="3">
        <w:col w:w="420" w:space="120"/>
        <w:col w:w="2020" w:space="720"/>
        <w:col w:w="69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2019-12-13T05:55:47Z</dcterms:created>
  <dcterms:modified xsi:type="dcterms:W3CDTF">2019-12-13T05:55:47Z</dcterms:modified>
</cp:coreProperties>
</file>