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4, 2024</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w w:val="95"/>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840" w:type="dxa"/>
            <w:vAlign w:val="bottom"/>
            <w:gridSpan w:val="4"/>
            <w:vMerge w:val="restart"/>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c>
          <w:tcPr>
            <w:tcW w:w="0" w:type="dxa"/>
            <w:vAlign w:val="bottom"/>
          </w:tcPr>
          <w:p>
            <w:pPr>
              <w:spacing w:after="0"/>
              <w:rPr>
                <w:sz w:val="1"/>
                <w:szCs w:val="1"/>
                <w:color w:val="auto"/>
              </w:rPr>
            </w:pPr>
          </w:p>
        </w:tc>
      </w:tr>
      <w:tr>
        <w:trPr>
          <w:trHeight w:val="117"/>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36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940" w:type="dxa"/>
            <w:vAlign w:val="bottom"/>
            <w:gridSpan w:val="2"/>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4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660" w:type="dxa"/>
            <w:vAlign w:val="bottom"/>
            <w:gridSpan w:val="3"/>
          </w:tcPr>
          <w:p>
            <w:pPr>
              <w:jc w:val="center"/>
              <w:ind w:left="82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color w:val="auto"/>
                <w:w w:val="99"/>
              </w:rPr>
              <w:t>ES</w:t>
            </w:r>
          </w:p>
        </w:tc>
        <w:tc>
          <w:tcPr>
            <w:tcW w:w="5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1820" w:type="dxa"/>
            <w:vAlign w:val="bottom"/>
          </w:tcPr>
          <w:p>
            <w:pPr>
              <w:spacing w:after="0"/>
              <w:rPr>
                <w:sz w:val="13"/>
                <w:szCs w:val="13"/>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54"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On November 4, 2024, Eversource Energy issued a news release announcing its unaudited results of operations for the third quarter and nine months ended September 30, 2024, and related financial information for certain of its subsidiaries as of and for the same period. A copy of the news release and related unaudited financial reports are attached as Exhibits 99.1 and 99.2 and are incorporated herein by reference thereto.</w:t>
      </w:r>
    </w:p>
    <w:p>
      <w:pPr>
        <w:spacing w:after="0" w:line="111"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On November 5, 2024, Eversource Energy will webcast a conference call with financial analysts during which senior management will discuss the company’s financial performance through the third quarter of 2024. The webcast will be accessible from the Investors section of the Eversource Energy website at www.eversource.com. Attached as Exhibit 99.3 and incorporated herein by reference are the slides to be discussed by Eversource Energy during the conference call.</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Section 9</w:t>
            </w:r>
          </w:p>
        </w:tc>
        <w:tc>
          <w:tcPr>
            <w:tcW w:w="1054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4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7"/>
        </w:trPr>
        <w:tc>
          <w:tcPr>
            <w:tcW w:w="360" w:type="dxa"/>
            <w:vAlign w:val="bottom"/>
          </w:tcPr>
          <w:p>
            <w:pPr>
              <w:spacing w:after="0"/>
              <w:rPr>
                <w:sz w:val="24"/>
                <w:szCs w:val="2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Exhibit</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128"/>
        </w:trPr>
        <w:tc>
          <w:tcPr>
            <w:tcW w:w="360" w:type="dxa"/>
            <w:vAlign w:val="bottom"/>
          </w:tcPr>
          <w:p>
            <w:pPr>
              <w:spacing w:after="0"/>
              <w:rPr>
                <w:sz w:val="11"/>
                <w:szCs w:val="11"/>
                <w:color w:val="auto"/>
              </w:rPr>
            </w:pPr>
          </w:p>
        </w:tc>
        <w:tc>
          <w:tcPr>
            <w:tcW w:w="40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color w:val="auto"/>
              </w:rPr>
              <w:t>Number</w:t>
            </w:r>
          </w:p>
        </w:tc>
        <w:tc>
          <w:tcPr>
            <w:tcW w:w="360" w:type="dxa"/>
            <w:vAlign w:val="bottom"/>
          </w:tcPr>
          <w:p>
            <w:pPr>
              <w:spacing w:after="0"/>
              <w:rPr>
                <w:sz w:val="11"/>
                <w:szCs w:val="11"/>
                <w:color w:val="auto"/>
              </w:rPr>
            </w:pPr>
          </w:p>
        </w:tc>
        <w:tc>
          <w:tcPr>
            <w:tcW w:w="10180" w:type="dxa"/>
            <w:vAlign w:val="bottom"/>
            <w:gridSpan w:val="5"/>
          </w:tcPr>
          <w:p>
            <w:pPr>
              <w:spacing w:after="0" w:line="128" w:lineRule="exact"/>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3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24"/>
        </w:trPr>
        <w:tc>
          <w:tcPr>
            <w:tcW w:w="360" w:type="dxa"/>
            <w:vAlign w:val="bottom"/>
          </w:tcPr>
          <w:p>
            <w:pPr>
              <w:spacing w:after="0"/>
              <w:rPr>
                <w:sz w:val="10"/>
                <w:szCs w:val="10"/>
                <w:color w:val="auto"/>
              </w:rPr>
            </w:pPr>
          </w:p>
        </w:tc>
        <w:tc>
          <w:tcPr>
            <w:tcW w:w="300" w:type="dxa"/>
            <w:vAlign w:val="bottom"/>
            <w:gridSpan w:val="2"/>
          </w:tcPr>
          <w:p>
            <w:pPr>
              <w:jc w:val="center"/>
              <w:ind w:left="4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1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News Release of Eversource Energy dated November 4, 2024.</w:t>
            </w:r>
          </w:p>
        </w:tc>
      </w:tr>
      <w:tr>
        <w:trPr>
          <w:trHeight w:val="20"/>
        </w:trPr>
        <w:tc>
          <w:tcPr>
            <w:tcW w:w="48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24"/>
        </w:trPr>
        <w:tc>
          <w:tcPr>
            <w:tcW w:w="660" w:type="dxa"/>
            <w:vAlign w:val="bottom"/>
            <w:gridSpan w:val="3"/>
          </w:tcPr>
          <w:p>
            <w:pPr>
              <w:jc w:val="center"/>
              <w:ind w:left="4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1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Financial Report for the three and nine months ended September 30, 2024.</w:t>
            </w:r>
          </w:p>
        </w:tc>
      </w:tr>
      <w:tr>
        <w:trPr>
          <w:trHeight w:val="20"/>
        </w:trPr>
        <w:tc>
          <w:tcPr>
            <w:tcW w:w="48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24"/>
        </w:trPr>
        <w:tc>
          <w:tcPr>
            <w:tcW w:w="660" w:type="dxa"/>
            <w:vAlign w:val="bottom"/>
            <w:gridSpan w:val="3"/>
          </w:tcPr>
          <w:p>
            <w:pPr>
              <w:jc w:val="center"/>
              <w:ind w:left="4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18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November 5, 2024 presentation slides.</w:t>
            </w:r>
          </w:p>
        </w:tc>
      </w:tr>
      <w:tr>
        <w:trPr>
          <w:trHeight w:val="20"/>
        </w:trPr>
        <w:tc>
          <w:tcPr>
            <w:tcW w:w="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r>
      <w:tr>
        <w:trPr>
          <w:trHeight w:val="151"/>
        </w:trPr>
        <w:tc>
          <w:tcPr>
            <w:tcW w:w="660" w:type="dxa"/>
            <w:vAlign w:val="bottom"/>
            <w:gridSpan w:val="3"/>
          </w:tcPr>
          <w:p>
            <w:pPr>
              <w:jc w:val="center"/>
              <w:ind w:left="380"/>
              <w:spacing w:after="0"/>
              <w:rPr>
                <w:sz w:val="20"/>
                <w:szCs w:val="20"/>
                <w:color w:val="auto"/>
              </w:rPr>
            </w:pPr>
            <w:r>
              <w:rPr>
                <w:rFonts w:ascii="Times New Roman" w:cs="Times New Roman" w:eastAsia="Times New Roman" w:hAnsi="Times New Roman"/>
                <w:sz w:val="12"/>
                <w:szCs w:val="12"/>
                <w:color w:val="auto"/>
                <w:w w:val="99"/>
              </w:rPr>
              <w:t>104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88"/>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[The remainder of this page left blank intentionally.]</w:t>
            </w:r>
          </w:p>
        </w:tc>
      </w:tr>
      <w:tr>
        <w:trPr>
          <w:trHeight w:val="450"/>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registrants have duly caused this report to be signed on their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EVERSOURCE ENERGY</w:t>
            </w:r>
          </w:p>
        </w:tc>
      </w:t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tc>
      </w:t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NSTAR ELECTRIC COMPANY</w:t>
            </w:r>
          </w:p>
        </w:tc>
      </w:tr>
      <w:tr>
        <w:trPr>
          <w:trHeight w:val="148"/>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tc>
      </w:tr>
      <w:tr>
        <w:trPr>
          <w:trHeight w:val="155"/>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(Registrants)</w:t>
            </w:r>
          </w:p>
        </w:tc>
      </w:tr>
      <w:tr>
        <w:trPr>
          <w:trHeight w:val="28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November 4, 2024</w:t>
            </w: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By:   /s/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tc>
      </w:tr>
      <w:tr>
        <w:trPr>
          <w:trHeight w:val="122"/>
        </w:trPr>
        <w:tc>
          <w:tcPr>
            <w:tcW w:w="3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Jay S. Buth</w:t>
            </w:r>
          </w:p>
        </w:tc>
      </w:tr>
      <w:tr>
        <w:trPr>
          <w:trHeight w:val="155"/>
        </w:trPr>
        <w:tc>
          <w:tcPr>
            <w:tcW w:w="3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Controller and Chief Accounting Officer</w:t>
            </w:r>
          </w:p>
        </w:tc>
      </w:tr>
      <w:tr>
        <w:trPr>
          <w:trHeight w:val="450"/>
        </w:trPr>
        <w:tc>
          <w:tcPr>
            <w:tcW w:w="3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104775</wp:posOffset>
            </wp:positionV>
            <wp:extent cx="485775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77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 Reports Third Quarter 2024 Results</w:t>
      </w:r>
    </w:p>
    <w:p>
      <w:pPr>
        <w:spacing w:after="0" w:line="150"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HARTFORD, Conn. and BOSTON, Mass. (November 4, 2024) – </w:t>
      </w:r>
      <w:r>
        <w:rPr>
          <w:rFonts w:ascii="Times New Roman" w:cs="Times New Roman" w:eastAsia="Times New Roman" w:hAnsi="Times New Roman"/>
          <w:sz w:val="11"/>
          <w:szCs w:val="11"/>
          <w:color w:val="auto"/>
        </w:rPr>
        <w:t>Eversource Energy (NYSE: ES) today reported a loss of $(118.1) million, or $(0.33) per share, for the third quarter of 2024, compared with earnings of $339.7</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million, or $0.97 per share, for the third quarter of 2023. Eversource Energy earnings totaled $739.1 million, or $2.08 per share, in the first nine months of 2024, compared with earnings of $846.2 million, or $2.42 per share, in the first</w:t>
      </w:r>
    </w:p>
    <w:p>
      <w:pPr>
        <w:ind w:right="60"/>
        <w:spacing w:after="0" w:line="233" w:lineRule="auto"/>
        <w:rPr>
          <w:sz w:val="20"/>
          <w:szCs w:val="20"/>
          <w:color w:val="auto"/>
        </w:rPr>
      </w:pPr>
      <w:r>
        <w:rPr>
          <w:rFonts w:ascii="Times New Roman" w:cs="Times New Roman" w:eastAsia="Times New Roman" w:hAnsi="Times New Roman"/>
          <w:sz w:val="12"/>
          <w:szCs w:val="12"/>
          <w:color w:val="auto"/>
        </w:rPr>
        <w:t>nine months of 2023. For non-GAAP recurring earnings, Eversource Energy earned $405.9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$1.13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third quarter of 2024, compared with earnings of $339.7 million, or $0.97 per share, for the third quarter of 2023. Non-GAAP recurring earnings totaled $1.26 billion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$3.56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first nine months of 2024, and $1.18 billion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$3.38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first nine months of 2023.</w:t>
      </w:r>
    </w:p>
    <w:p>
      <w:pPr>
        <w:spacing w:after="0" w:line="5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Results for the third quarter of 2024 and first nine months of 2024 include an aggregate net after-tax loss of $524.0 million, or $1.48 per share, on a year-to-date basis, related to Eversource Energy's sales and complete divestiture of its offshore wind investment. Results for the first nine months of 2023 included an after-tax impairment charge of $331.0 million, or $0.95 per share, related to Eversource Energy’s estimate of the change in fair value of its offshore wind investment. In addition, results include an after-tax land abandonment loss and other charges that totaled $6.9 million in the first nine months of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updating its 2024 non-GAAP recurring earnings projection to a range of $4.52 per share and $4.60 per share from the initial projection of $4.50 per share and $4.67 per share. The update reflects the impact of higher</w:t>
      </w:r>
    </w:p>
    <w:p>
      <w:pPr>
        <w:spacing w:after="0" w:line="17" w:lineRule="exact"/>
        <w:rPr>
          <w:sz w:val="20"/>
          <w:szCs w:val="20"/>
          <w:color w:val="auto"/>
        </w:rPr>
      </w:pPr>
    </w:p>
    <w:p>
      <w:pPr>
        <w:ind w:right="460"/>
        <w:spacing w:after="0" w:line="212" w:lineRule="auto"/>
        <w:rPr>
          <w:sz w:val="20"/>
          <w:szCs w:val="20"/>
          <w:color w:val="auto"/>
        </w:rPr>
      </w:pPr>
      <w:r>
        <w:rPr>
          <w:rFonts w:ascii="Times New Roman" w:cs="Times New Roman" w:eastAsia="Times New Roman" w:hAnsi="Times New Roman"/>
          <w:sz w:val="12"/>
          <w:szCs w:val="12"/>
          <w:color w:val="auto"/>
        </w:rPr>
        <w:t>than anticipated interest expense. The Company reaffirms its annual long-term earnings per share growth rate within the range of 5 to 7 percent from a 2023 base of $4.34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and increases its previous forecasted capital investments of $23.1 billion to $23.7 billion for the period 2024 to 2028, as a result of the recently approved Electric Sector Modernization Plan (ESMP) in Massachusetts.</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“During the third quarter, we posted solid operational and financial results, once again displaying the talent and commitment of our diverse, dedicated team of over 10,000 employees. I am also very proud of the Eversource crews who worked hard in difficult conditions, providing mutual assistance in Virginia, to repair the heartbreaking damage wrought by Hurricane Helene,” said Chairman, President and Chief Executive Officer Joe Nolan. “Following our exit from offshore wind development, our investment thesis is very clear. We are a pure-play regulated utility, focused on providing innovative technology and safe and reliable services to all our customers. We have a long runway for growth driven by regulated investments enabling consistent return of value to all of our stakeholders.”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Transmission</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Eversource Energy’s transmission segment earned $174.9 million in the third quarter of 2024 and $540.6 million in the first nine months of 2024, compared with earnings of $160.3 million in the third quarter of 2023 and $476.4 million in the first nine months of 2023. Transmission segment results improved in both periods due primarily to a higher level of investment in Eversource’s electric transmission system.</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Distribution</w:t>
      </w:r>
    </w:p>
    <w:p>
      <w:pPr>
        <w:spacing w:after="0" w:line="1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Eversource Energy’s electric distribution segment earned $203.5 million in the third quarter of 2024 and $521.3 million in the first nine months of 2024, compared with earnings of $173.3 million in the third quarter of 2023 and $504.3 million in the first nine months of 2023. Improved results in both periods were due primarily to base distribution rate increases at NSTAR Electric and PSNH, and continued investments in our distribution system. Third quarter results also improved due to lower storm-related operations and maintenance (O&amp;M) expense, partially offset by higher interest, depreciation and property tax expense. Year-to-date results were impacted by the absence of the prior year benefit related to a favorable regulatory decision in New Hampshire, as well as higher interest, O&amp;M, depreciation and property tax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Natural Gas Distribution</w:t>
      </w:r>
    </w:p>
    <w:p>
      <w:pPr>
        <w:spacing w:after="0" w:line="154"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2"/>
          <w:szCs w:val="12"/>
          <w:color w:val="auto"/>
        </w:rPr>
        <w:t>Eversource Energy’s natural gas distribution segment lost $(30.2) million in the third quarter of 2024 and earned $187.4 million in the first nine months of 2024, compared with a loss of $(33.7) million in the third quarter of 2023 and earnings of $148.2 million in the first nine months of 2023. Improved results in the third quarter were due primarily to higher revenues associated with investments in our natural gas infrastructure, as well as a lower effective tax rate, partially offset by higher property taxes, depreciation, non-tracked O&amp;M and interest expense. Improved results for the first nine months were due primarily to higher revenues, lower non-tracked O&amp;M and a lower effective tax rate, partially offset by higher depreciation, interest and property tax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Water Distribution</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Eversource Energy’s water distribution segment earned $23.7 million in the third quarter of 2024 and $37.1 million in the first nine months of 2024, compared with earnings of $16.6 million in the third quarter of 2023 and $27.4 million in the first nine months of 2023. Higher earnings in the third quarter were due primarily to higher revenues from our water acquisition and lower depreciation expense. Higher earnings for the first nine months were due primarily to higher revenues and lower depreciation expense, partially offset by higher non-tracked O&amp;M and 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Parent and Other Companies</w:t>
      </w:r>
    </w:p>
    <w:p>
      <w:pPr>
        <w:spacing w:after="0" w:line="15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2"/>
          <w:szCs w:val="12"/>
          <w:color w:val="auto"/>
        </w:rPr>
        <w:t>Eversource Energy parent and other companies, excluding the offshore wind and other impacts noted above, earned $34.0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third quarter of 2024 and lost $(23.3)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first nine months of 2024, compared with earnings of $23.2 million in the third quarter of 2023 and $27.8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first nine months of 2023. Improved third quarter results primarily reflect a lower effective tax rate, partially offset by higher interest expense. Lower results for the first nine months were due primarily to higher interest expense and the absence of the prior year net benefit from the planned liquidation of Eversource's investment in a clean energy fund in 2023, partially offset by a lower effective tax rate.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Eversource Energy Consolidated Earnings</w:t>
            </w:r>
          </w:p>
        </w:tc>
        <w:tc>
          <w:tcPr>
            <w:tcW w:w="6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reconciles consolidated GAAP earnings per share for the third quarter and first nine months of 2024 and 2023:</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Third</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First Nine</w:t>
            </w: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Quarter</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Months</w:t>
            </w:r>
          </w:p>
        </w:tc>
        <w:tc>
          <w:tcPr>
            <w:tcW w:w="0" w:type="dxa"/>
            <w:vAlign w:val="bottom"/>
          </w:tcPr>
          <w:p>
            <w:pPr>
              <w:spacing w:after="0"/>
              <w:rPr>
                <w:sz w:val="1"/>
                <w:szCs w:val="1"/>
                <w:color w:val="auto"/>
              </w:rPr>
            </w:pPr>
          </w:p>
        </w:tc>
      </w:tr>
      <w:tr>
        <w:trPr>
          <w:trHeight w:val="133"/>
        </w:trPr>
        <w:tc>
          <w:tcPr>
            <w:tcW w:w="720" w:type="dxa"/>
            <w:vAlign w:val="bottom"/>
            <w:tcBorders>
              <w:top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7760" w:type="dxa"/>
            <w:vAlign w:val="bottom"/>
            <w:tcBorders>
              <w:top w:val="single" w:sz="8" w:color="CCEEFF"/>
            </w:tcBorders>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Reported GAAP EPS</w:t>
            </w:r>
          </w:p>
        </w:tc>
        <w:tc>
          <w:tcPr>
            <w:tcW w:w="92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0.97</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shd w:val="clear" w:color="auto" w:fill="CCEEFF"/>
          </w:tcPr>
          <w:p>
            <w:pPr>
              <w:ind w:left="820"/>
              <w:spacing w:after="0" w:line="133" w:lineRule="exact"/>
              <w:rPr>
                <w:sz w:val="20"/>
                <w:szCs w:val="20"/>
                <w:color w:val="auto"/>
              </w:rPr>
            </w:pPr>
            <w:r>
              <w:rPr>
                <w:rFonts w:ascii="Times New Roman" w:cs="Times New Roman" w:eastAsia="Times New Roman" w:hAnsi="Times New Roman"/>
                <w:sz w:val="12"/>
                <w:szCs w:val="12"/>
                <w:b w:val="1"/>
                <w:bCs w:val="1"/>
                <w:color w:val="auto"/>
                <w:w w:val="85"/>
              </w:rPr>
              <w:t>2.42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776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Higher electric transmission segment earnings in 2024, net of share dilution</w:t>
            </w:r>
          </w:p>
        </w:tc>
        <w:tc>
          <w:tcPr>
            <w:tcW w:w="920" w:type="dxa"/>
            <w:vAlign w:val="bottom"/>
          </w:tcPr>
          <w:p>
            <w:pPr>
              <w:spacing w:after="0"/>
              <w:rPr>
                <w:sz w:val="11"/>
                <w:szCs w:val="11"/>
                <w:color w:val="auto"/>
              </w:rPr>
            </w:pP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ind w:left="820"/>
              <w:spacing w:after="0" w:line="133" w:lineRule="exact"/>
              <w:rPr>
                <w:sz w:val="20"/>
                <w:szCs w:val="20"/>
                <w:color w:val="auto"/>
              </w:rPr>
            </w:pPr>
            <w:r>
              <w:rPr>
                <w:rFonts w:ascii="Times New Roman" w:cs="Times New Roman" w:eastAsia="Times New Roman" w:hAnsi="Times New Roman"/>
                <w:sz w:val="12"/>
                <w:szCs w:val="12"/>
                <w:color w:val="auto"/>
                <w:w w:val="85"/>
              </w:rPr>
              <w:t>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shd w:val="clear" w:color="auto" w:fill="CCEEFF"/>
          </w:tcPr>
          <w:p>
            <w:pPr>
              <w:spacing w:after="0"/>
              <w:rPr>
                <w:sz w:val="11"/>
                <w:szCs w:val="11"/>
                <w:color w:val="auto"/>
              </w:rPr>
            </w:pPr>
          </w:p>
        </w:tc>
        <w:tc>
          <w:tcPr>
            <w:tcW w:w="776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Higher electric distribution segment revenues, partially offset by higher interest, depreciation, property taxes and share dilution, and the year-to-date</w:t>
            </w: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(YTD) absence of a prior year regulatory benefit in New Hampshire</w:t>
            </w: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0.07</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776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Higher natural gas distribution segment revenues and lower YTD non-tracked O&amp;M, partially offset by higher depreciation, interest and YTD share</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dilution</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200" w:type="dxa"/>
            <w:vAlign w:val="bottom"/>
          </w:tcPr>
          <w:p>
            <w:pPr>
              <w:spacing w:after="0"/>
              <w:rPr>
                <w:sz w:val="13"/>
                <w:szCs w:val="13"/>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0.11</w:t>
            </w:r>
          </w:p>
        </w:tc>
        <w:tc>
          <w:tcPr>
            <w:tcW w:w="0" w:type="dxa"/>
            <w:vAlign w:val="bottom"/>
          </w:tcPr>
          <w:p>
            <w:pPr>
              <w:spacing w:after="0"/>
              <w:rPr>
                <w:sz w:val="1"/>
                <w:szCs w:val="1"/>
                <w:color w:val="auto"/>
              </w:rPr>
            </w:pPr>
          </w:p>
        </w:tc>
      </w:tr>
      <w:tr>
        <w:trPr>
          <w:trHeight w:val="144"/>
        </w:trPr>
        <w:tc>
          <w:tcPr>
            <w:tcW w:w="720" w:type="dxa"/>
            <w:vAlign w:val="bottom"/>
            <w:shd w:val="clear" w:color="auto" w:fill="CCEEFF"/>
          </w:tcPr>
          <w:p>
            <w:pPr>
              <w:spacing w:after="0"/>
              <w:rPr>
                <w:sz w:val="12"/>
                <w:szCs w:val="12"/>
                <w:color w:val="auto"/>
              </w:rPr>
            </w:pPr>
          </w:p>
        </w:tc>
        <w:tc>
          <w:tcPr>
            <w:tcW w:w="7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Higher water distribution segment earnings due to lower depreciation expense and higher revenues, partially offset by higher O&amp;M and interest expense</w:t>
            </w: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776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At parent and other companies, a lower effective tax rate, partially offset by higher interest expense, as well as the YTD absence of a prior year benefit</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from the liquidation of an investment in a clean energy fund</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0.03</w:t>
            </w:r>
          </w:p>
        </w:tc>
        <w:tc>
          <w:tcPr>
            <w:tcW w:w="200" w:type="dxa"/>
            <w:vAlign w:val="bottom"/>
          </w:tcPr>
          <w:p>
            <w:pPr>
              <w:spacing w:after="0"/>
              <w:rPr>
                <w:sz w:val="13"/>
                <w:szCs w:val="13"/>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144"/>
        </w:trPr>
        <w:tc>
          <w:tcPr>
            <w:tcW w:w="720" w:type="dxa"/>
            <w:vAlign w:val="bottom"/>
            <w:shd w:val="clear" w:color="auto" w:fill="CCEEFF"/>
          </w:tcPr>
          <w:p>
            <w:pPr>
              <w:spacing w:after="0"/>
              <w:rPr>
                <w:sz w:val="12"/>
                <w:szCs w:val="12"/>
                <w:color w:val="auto"/>
              </w:rPr>
            </w:pPr>
          </w:p>
        </w:tc>
        <w:tc>
          <w:tcPr>
            <w:tcW w:w="7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Losses on Offshore Wind Investments, and absence of transaction and other charges from 2023</w:t>
            </w:r>
          </w:p>
        </w:tc>
        <w:tc>
          <w:tcPr>
            <w:tcW w:w="9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(0.52)</w:t>
            </w: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7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Reported GAAP EPS</w:t>
            </w: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20" w:type="dxa"/>
            <w:vAlign w:val="bottom"/>
            <w:vMerge w:val="continue"/>
          </w:tcPr>
          <w:p>
            <w:pPr>
              <w:spacing w:after="0"/>
              <w:rPr>
                <w:sz w:val="12"/>
                <w:szCs w:val="12"/>
                <w:color w:val="auto"/>
              </w:rPr>
            </w:pPr>
          </w:p>
        </w:tc>
        <w:tc>
          <w:tcPr>
            <w:tcW w:w="7760" w:type="dxa"/>
            <w:vAlign w:val="bottom"/>
            <w:gridSpan w:val="2"/>
            <w:vMerge w:val="continue"/>
          </w:tcPr>
          <w:p>
            <w:pPr>
              <w:spacing w:after="0"/>
              <w:rPr>
                <w:sz w:val="12"/>
                <w:szCs w:val="12"/>
                <w:color w:val="auto"/>
              </w:rPr>
            </w:pPr>
          </w:p>
        </w:tc>
        <w:tc>
          <w:tcPr>
            <w:tcW w:w="920" w:type="dxa"/>
            <w:vAlign w:val="bottom"/>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(0.33)</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ind w:left="820"/>
              <w:spacing w:after="0" w:line="133" w:lineRule="exact"/>
              <w:rPr>
                <w:sz w:val="20"/>
                <w:szCs w:val="20"/>
                <w:color w:val="auto"/>
              </w:rPr>
            </w:pPr>
            <w:r>
              <w:rPr>
                <w:rFonts w:ascii="Times New Roman" w:cs="Times New Roman" w:eastAsia="Times New Roman" w:hAnsi="Times New Roman"/>
                <w:sz w:val="12"/>
                <w:szCs w:val="12"/>
                <w:b w:val="1"/>
                <w:bCs w:val="1"/>
                <w:color w:val="auto"/>
                <w:w w:val="85"/>
              </w:rPr>
              <w:t>2.08</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7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4900"/>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1"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color w:val="auto"/>
        </w:rPr>
        <w:t>Financial results for the third quarter and first nine months of 2024 and 2023 for Eversource Energy’s business segments and parent and other companies are noted below:</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00" w:type="dxa"/>
            <w:vAlign w:val="bottom"/>
          </w:tcPr>
          <w:p>
            <w:pPr>
              <w:spacing w:after="0"/>
              <w:rPr>
                <w:sz w:val="23"/>
                <w:szCs w:val="2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200" w:type="dxa"/>
            <w:vAlign w:val="bottom"/>
          </w:tcPr>
          <w:p>
            <w:pPr>
              <w:spacing w:after="0"/>
              <w:rPr>
                <w:sz w:val="23"/>
                <w:szCs w:val="23"/>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2024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0" w:type="dxa"/>
            <w:vAlign w:val="bottom"/>
          </w:tcPr>
          <w:p>
            <w:pPr>
              <w:spacing w:after="0"/>
              <w:rPr>
                <w:sz w:val="1"/>
                <w:szCs w:val="1"/>
                <w:color w:val="auto"/>
              </w:rPr>
            </w:pPr>
          </w:p>
        </w:tc>
      </w:tr>
      <w:tr>
        <w:trPr>
          <w:trHeight w:val="159"/>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100" w:type="dxa"/>
            <w:vAlign w:val="bottom"/>
          </w:tcPr>
          <w:p>
            <w:pPr>
              <w:spacing w:after="0"/>
              <w:rPr>
                <w:sz w:val="13"/>
                <w:szCs w:val="13"/>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September 30, 2024</w:t>
            </w:r>
          </w:p>
        </w:tc>
        <w:tc>
          <w:tcPr>
            <w:tcW w:w="120" w:type="dxa"/>
            <w:vAlign w:val="bottom"/>
          </w:tcPr>
          <w:p>
            <w:pPr>
              <w:spacing w:after="0"/>
              <w:rPr>
                <w:sz w:val="13"/>
                <w:szCs w:val="13"/>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2023 EPS</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Electric Transmission</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174.9</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10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203.5</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173.3</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30.2</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0.57</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0.50</w:t>
            </w: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5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(33.7)</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(0.09)</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(0.10)</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Water Distribution</w:t>
            </w:r>
          </w:p>
        </w:tc>
        <w:tc>
          <w:tcPr>
            <w:tcW w:w="10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23.7</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16.6</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7.1</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0.07</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0.05</w:t>
            </w: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80"/>
        </w:trPr>
        <w:tc>
          <w:tcPr>
            <w:tcW w:w="2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34.0</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23.2</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10.8</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0.09</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on Offshore Wind Investments</w:t>
            </w:r>
          </w:p>
        </w:tc>
        <w:tc>
          <w:tcPr>
            <w:tcW w:w="10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(524.0)</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(524.0)</w:t>
            </w:r>
          </w:p>
        </w:tc>
        <w:tc>
          <w:tcPr>
            <w:tcW w:w="2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Reported (Loss)/Earnings</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(118.1)</w:t>
            </w:r>
          </w:p>
        </w:tc>
        <w:tc>
          <w:tcPr>
            <w:tcW w:w="120" w:type="dxa"/>
            <w:vAlign w:val="bottom"/>
            <w:vMerge w:val="continue"/>
            <w:shd w:val="clear" w:color="auto" w:fill="CCEEFF"/>
          </w:tcPr>
          <w:p>
            <w:pPr>
              <w:spacing w:after="0"/>
              <w:rPr>
                <w:sz w:val="13"/>
                <w:szCs w:val="13"/>
                <w:color w:val="auto"/>
              </w:rPr>
            </w:pP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339.7</w:t>
            </w:r>
          </w:p>
        </w:tc>
        <w:tc>
          <w:tcPr>
            <w:tcW w:w="2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(457.8)</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(0.33)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0.97</w:t>
            </w:r>
          </w:p>
        </w:tc>
        <w:tc>
          <w:tcPr>
            <w:tcW w:w="2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(1.30)</w:t>
            </w:r>
          </w:p>
        </w:tc>
        <w:tc>
          <w:tcPr>
            <w:tcW w:w="0" w:type="dxa"/>
            <w:vAlign w:val="bottom"/>
          </w:tcPr>
          <w:p>
            <w:pPr>
              <w:spacing w:after="0"/>
              <w:rPr>
                <w:sz w:val="1"/>
                <w:szCs w:val="1"/>
                <w:color w:val="auto"/>
              </w:rPr>
            </w:pPr>
          </w:p>
        </w:tc>
      </w:tr>
      <w:tr>
        <w:trPr>
          <w:trHeight w:val="275"/>
        </w:trPr>
        <w:tc>
          <w:tcPr>
            <w:tcW w:w="26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Nine months ended:</w:t>
            </w:r>
          </w:p>
        </w:tc>
        <w:tc>
          <w:tcPr>
            <w:tcW w:w="1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200" w:type="dxa"/>
            <w:vAlign w:val="bottom"/>
          </w:tcPr>
          <w:p>
            <w:pPr>
              <w:spacing w:after="0"/>
              <w:rPr>
                <w:sz w:val="23"/>
                <w:szCs w:val="23"/>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2024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23"/>
                <w:szCs w:val="23"/>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xml:space="preserve">2023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23"/>
                <w:szCs w:val="2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0" w:type="dxa"/>
            <w:vAlign w:val="bottom"/>
          </w:tcPr>
          <w:p>
            <w:pPr>
              <w:spacing w:after="0"/>
              <w:rPr>
                <w:sz w:val="1"/>
                <w:szCs w:val="1"/>
                <w:color w:val="auto"/>
              </w:rPr>
            </w:pPr>
          </w:p>
        </w:tc>
      </w:tr>
      <w:tr>
        <w:trPr>
          <w:trHeight w:val="159"/>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100" w:type="dxa"/>
            <w:vAlign w:val="bottom"/>
          </w:tcPr>
          <w:p>
            <w:pPr>
              <w:spacing w:after="0"/>
              <w:rPr>
                <w:sz w:val="13"/>
                <w:szCs w:val="13"/>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September 30, 2024</w:t>
            </w:r>
          </w:p>
        </w:tc>
        <w:tc>
          <w:tcPr>
            <w:tcW w:w="1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September 30, 2023</w:t>
            </w:r>
          </w:p>
        </w:tc>
        <w:tc>
          <w:tcPr>
            <w:tcW w:w="20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Electric Transmission</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476.4</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10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521.3</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504.3</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17.0</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1.47</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1.44</w:t>
            </w: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15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187.4</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148.2</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39.2</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0.53</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0.42</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0.11</w:t>
            </w: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Water Distribution</w:t>
            </w:r>
          </w:p>
        </w:tc>
        <w:tc>
          <w:tcPr>
            <w:tcW w:w="10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37.1</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27.4</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0.10</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0.08</w:t>
            </w: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0" w:type="dxa"/>
            <w:vAlign w:val="bottom"/>
          </w:tcPr>
          <w:p>
            <w:pPr>
              <w:spacing w:after="0"/>
              <w:rPr>
                <w:sz w:val="1"/>
                <w:szCs w:val="1"/>
                <w:color w:val="auto"/>
              </w:rPr>
            </w:pPr>
          </w:p>
        </w:tc>
      </w:tr>
      <w:tr>
        <w:trPr>
          <w:trHeight w:val="180"/>
        </w:trPr>
        <w:tc>
          <w:tcPr>
            <w:tcW w:w="2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(23.3)</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27.8</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(51.1)</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(0.06)</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0.08</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on Offshore Wind Investments</w:t>
            </w:r>
          </w:p>
        </w:tc>
        <w:tc>
          <w:tcPr>
            <w:tcW w:w="10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(524.0)</w:t>
            </w:r>
          </w:p>
        </w:tc>
        <w:tc>
          <w:tcPr>
            <w:tcW w:w="12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(331.0)</w:t>
            </w:r>
          </w:p>
        </w:tc>
        <w:tc>
          <w:tcPr>
            <w:tcW w:w="20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(193.0)</w:t>
            </w:r>
          </w:p>
        </w:tc>
        <w:tc>
          <w:tcPr>
            <w:tcW w:w="2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(1.48)</w:t>
            </w:r>
          </w:p>
        </w:tc>
        <w:tc>
          <w:tcPr>
            <w:tcW w:w="2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(0.95)</w:t>
            </w:r>
          </w:p>
        </w:tc>
        <w:tc>
          <w:tcPr>
            <w:tcW w:w="2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(0.53)</w:t>
            </w:r>
          </w:p>
        </w:tc>
        <w:tc>
          <w:tcPr>
            <w:tcW w:w="0" w:type="dxa"/>
            <w:vAlign w:val="bottom"/>
          </w:tcPr>
          <w:p>
            <w:pPr>
              <w:spacing w:after="0"/>
              <w:rPr>
                <w:sz w:val="1"/>
                <w:szCs w:val="1"/>
                <w:color w:val="auto"/>
              </w:rPr>
            </w:pPr>
          </w:p>
        </w:tc>
      </w:tr>
      <w:tr>
        <w:trPr>
          <w:trHeight w:val="15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Transaction and other charges</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Reported Earnings</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00" w:type="dxa"/>
            <w:vAlign w:val="bottom"/>
            <w:gridSpan w:val="2"/>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739.1</w:t>
            </w:r>
          </w:p>
        </w:tc>
        <w:tc>
          <w:tcPr>
            <w:tcW w:w="220" w:type="dxa"/>
            <w:vAlign w:val="bottom"/>
            <w:vMerge w:val="continue"/>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846.2</w:t>
            </w:r>
          </w:p>
        </w:tc>
        <w:tc>
          <w:tcPr>
            <w:tcW w:w="24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(107.1)</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2.08</w:t>
            </w:r>
          </w:p>
        </w:tc>
        <w:tc>
          <w:tcPr>
            <w:tcW w:w="22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2.42</w:t>
            </w:r>
          </w:p>
        </w:tc>
        <w:tc>
          <w:tcPr>
            <w:tcW w:w="22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(0.34)</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Eversource Energy has approximately 364 million common shares outstanding and operates New England’s largest energy delivery system. It serves approximately 4.4 million electric, natural gas and water customers in Connecticut, Massachusetts and New Hampshire.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Rima Hyder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(781) 441-8062</w:t>
      </w:r>
    </w:p>
    <w:p>
      <w:pPr>
        <w:spacing w:after="0" w:line="144" w:lineRule="exact"/>
        <w:rPr>
          <w:sz w:val="20"/>
          <w:szCs w:val="20"/>
          <w:color w:val="auto"/>
        </w:rPr>
      </w:pPr>
    </w:p>
    <w:p>
      <w:pPr>
        <w:ind w:left="48" w:right="120"/>
        <w:spacing w:after="0" w:line="286" w:lineRule="auto"/>
        <w:rPr>
          <w:sz w:val="20"/>
          <w:szCs w:val="20"/>
          <w:color w:val="auto"/>
        </w:rPr>
      </w:pPr>
      <w:r>
        <w:rPr>
          <w:rFonts w:ascii="Times New Roman" w:cs="Times New Roman" w:eastAsia="Times New Roman" w:hAnsi="Times New Roman"/>
          <w:sz w:val="12"/>
          <w:szCs w:val="12"/>
          <w:b w:val="1"/>
          <w:bCs w:val="1"/>
          <w:color w:val="auto"/>
        </w:rPr>
        <w:t>Note: Eversource Energy will webcast a conference call with senior management on November 5, 2024, beginning at 9 a.m. Eastern Time. The webcast and associated slides can be accessed through Eversource Energy’s website at www.eversource.com.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178040" cy="194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21" w:lineRule="exact"/>
        <w:rPr>
          <w:sz w:val="20"/>
          <w:szCs w:val="20"/>
          <w:color w:val="auto"/>
        </w:rPr>
      </w:pPr>
    </w:p>
    <w:p>
      <w:pPr>
        <w:ind w:left="8" w:right="40" w:hanging="8"/>
        <w:spacing w:after="0" w:line="238" w:lineRule="auto"/>
        <w:tabs>
          <w:tab w:leader="none" w:pos="83" w:val="left"/>
        </w:tabs>
        <w:numPr>
          <w:ilvl w:val="0"/>
          <w:numId w:val="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earnings and EPS excluding losses on the offshore wind investments, a loss on the disposition of land that was initially acquired to construct the Northern Pass Transmission project and was subsequently abandoned, and certain transaction and transition costs.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impacts of the losses on the offshore wind investments, the loss on the disposition of land associated with an abandoned project, and transaction and transition costs are not indicative of Eversource Energy's ongoing costs and performance. Management views these charges as not directly related to the ongoing operations of the business and therefore not an indicator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spacing w:after="0" w:line="2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2"/>
          <w:szCs w:val="12"/>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Private Securities Litigation Reform Act of 1995. Generally, readers can identify these forward-looking statements through the use of words or phrases such as “estimate,” “expect,” “anticipate,” “intend,” “plan,” “project,” “believe,” “forecast,”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cyberattacks or breaches, including those resulting in the compromise of the confidentiality of our proprietary information and the personal information of our customers; the ability to qualify for investment tax credits; variability in the costs and projected returns of the Revolution Wind and South Fork Wind offshore wind projects and the risk of deterioration of market conditions in the offshore wind industry; disruptions in the capital markets or other events that make our access to necessary capital more difficult or costly; changes in economic conditions, including impact on interest rates, tax policies,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Other risk factors are detailed in Eversource Energy’s reports filed with the Securities and Exchange Commission (SEC). They are updated as necessary and available on Eversource Energy’s website at </w:t>
      </w:r>
      <w:r>
        <w:rPr>
          <w:rFonts w:ascii="Times New Roman" w:cs="Times New Roman" w:eastAsia="Times New Roman" w:hAnsi="Times New Roman"/>
          <w:sz w:val="12"/>
          <w:szCs w:val="12"/>
          <w:b w:val="1"/>
          <w:bCs w:val="1"/>
          <w:i w:val="1"/>
          <w:iCs w:val="1"/>
          <w:u w:val="single" w:color="auto"/>
          <w:color w:val="auto"/>
        </w:rPr>
        <w:t>www.eversource.com</w:t>
      </w:r>
      <w:r>
        <w:rPr>
          <w:rFonts w:ascii="Times New Roman" w:cs="Times New Roman" w:eastAsia="Times New Roman" w:hAnsi="Times New Roman"/>
          <w:sz w:val="12"/>
          <w:szCs w:val="12"/>
          <w:i w:val="1"/>
          <w:iCs w:val="1"/>
          <w:color w:val="auto"/>
        </w:rPr>
        <w:t xml:space="preserve"> and on the SEC’s website at </w:t>
      </w:r>
      <w:r>
        <w:rPr>
          <w:rFonts w:ascii="Times New Roman" w:cs="Times New Roman" w:eastAsia="Times New Roman" w:hAnsi="Times New Roman"/>
          <w:sz w:val="12"/>
          <w:szCs w:val="12"/>
          <w:b w:val="1"/>
          <w:bCs w:val="1"/>
          <w:i w:val="1"/>
          <w:iCs w:val="1"/>
          <w:u w:val="single" w:color="auto"/>
          <w:color w:val="auto"/>
        </w:rPr>
        <w:t>www.sec.gov</w:t>
      </w:r>
      <w:r>
        <w:rPr>
          <w:rFonts w:ascii="Times New Roman" w:cs="Times New Roman" w:eastAsia="Times New Roman" w:hAnsi="Times New Roman"/>
          <w:sz w:val="12"/>
          <w:szCs w:val="12"/>
          <w:i w:val="1"/>
          <w:iCs w:val="1"/>
          <w:color w:val="auto"/>
        </w:rPr>
        <w:t>.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tc>
      </w:tr>
      <w:tr>
        <w:trPr>
          <w:trHeight w:val="277"/>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 AND SUBSIDIARIES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CONDENSED CONSOLIDATED STATEMENTS OF (LOSS)/INCOME</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(Unaudited)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color w:val="auto"/>
              </w:rPr>
              <w:t>For the Three Months Ended September 30,</w:t>
            </w:r>
          </w:p>
        </w:tc>
        <w:tc>
          <w:tcPr>
            <w:tcW w:w="200" w:type="dxa"/>
            <w:vAlign w:val="bottom"/>
          </w:tcPr>
          <w:p>
            <w:pPr>
              <w:spacing w:after="0"/>
              <w:rPr>
                <w:sz w:val="24"/>
                <w:szCs w:val="24"/>
                <w:color w:val="auto"/>
              </w:rPr>
            </w:pPr>
          </w:p>
        </w:tc>
        <w:tc>
          <w:tcPr>
            <w:tcW w:w="2600" w:type="dxa"/>
            <w:vAlign w:val="bottom"/>
            <w:gridSpan w:val="5"/>
          </w:tcPr>
          <w:p>
            <w:pPr>
              <w:jc w:val="right"/>
              <w:ind w:right="420"/>
              <w:spacing w:after="0"/>
              <w:rPr>
                <w:sz w:val="20"/>
                <w:szCs w:val="20"/>
                <w:color w:val="auto"/>
              </w:rPr>
            </w:pPr>
            <w:r>
              <w:rPr>
                <w:rFonts w:ascii="Times New Roman" w:cs="Times New Roman" w:eastAsia="Times New Roman" w:hAnsi="Times New Roman"/>
                <w:sz w:val="12"/>
                <w:szCs w:val="12"/>
                <w:color w:val="auto"/>
              </w:rPr>
              <w:t>For the Nine Months Ended September 30,</w:t>
            </w:r>
          </w:p>
        </w:tc>
      </w:tr>
      <w:tr>
        <w:trPr>
          <w:trHeight w:val="142"/>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2023</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Pr>
          <w:p>
            <w:pPr>
              <w:spacing w:after="0"/>
              <w:rPr>
                <w:sz w:val="12"/>
                <w:szCs w:val="12"/>
                <w:color w:val="auto"/>
              </w:rPr>
            </w:pPr>
          </w:p>
        </w:tc>
      </w:tr>
      <w:tr>
        <w:trPr>
          <w:trHeight w:val="142"/>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3,063,224</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2,791,482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8,929,321</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9,216,467</w:t>
            </w:r>
          </w:p>
        </w:tc>
        <w:tc>
          <w:tcPr>
            <w:tcW w:w="120" w:type="dxa"/>
            <w:vAlign w:val="bottom"/>
            <w:tcBorders>
              <w:top w:val="single" w:sz="8" w:color="CCEEFF"/>
            </w:tcBorders>
            <w:shd w:val="clear" w:color="auto" w:fill="CCEEFF"/>
          </w:tcPr>
          <w:p>
            <w:pPr>
              <w:spacing w:after="0"/>
              <w:rPr>
                <w:sz w:val="12"/>
                <w:szCs w:val="12"/>
                <w:color w:val="auto"/>
              </w:rPr>
            </w:pPr>
          </w:p>
        </w:tc>
      </w:tr>
      <w:tr>
        <w:trPr>
          <w:trHeight w:val="133"/>
        </w:trPr>
        <w:tc>
          <w:tcPr>
            <w:tcW w:w="5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180" w:type="dxa"/>
            <w:vAlign w:val="bottom"/>
          </w:tcPr>
          <w:p>
            <w:pPr>
              <w:spacing w:after="0"/>
              <w:rPr>
                <w:sz w:val="12"/>
                <w:szCs w:val="12"/>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917,858</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1,168,599</w:t>
            </w: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2,995,245</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4,232,912</w:t>
            </w:r>
          </w:p>
        </w:tc>
      </w:tr>
      <w:tr>
        <w:trPr>
          <w:trHeight w:val="144"/>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510,439</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500,711</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1,437,826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1,382,563</w:t>
            </w:r>
          </w:p>
        </w:tc>
      </w:tr>
      <w:tr>
        <w:trPr>
          <w:trHeight w:val="144"/>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tcPr>
          <w:p>
            <w:pPr>
              <w:spacing w:after="0"/>
              <w:rPr>
                <w:sz w:val="12"/>
                <w:szCs w:val="12"/>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366,145</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329,528</w:t>
            </w: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1,060,650</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962,477</w:t>
            </w:r>
          </w:p>
        </w:tc>
      </w:tr>
      <w:tr>
        <w:trPr>
          <w:trHeight w:val="144"/>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243,957</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(143,979)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127,495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(438,460)</w:t>
            </w:r>
          </w:p>
        </w:tc>
      </w:tr>
      <w:tr>
        <w:trPr>
          <w:trHeight w:val="144"/>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180" w:type="dxa"/>
            <w:vAlign w:val="bottom"/>
          </w:tcPr>
          <w:p>
            <w:pPr>
              <w:spacing w:after="0"/>
              <w:rPr>
                <w:sz w:val="12"/>
                <w:szCs w:val="12"/>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148,054</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162,425</w:t>
            </w: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506,821</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531,199</w:t>
            </w:r>
          </w:p>
        </w:tc>
      </w:tr>
      <w:tr>
        <w:trPr>
          <w:trHeight w:val="153"/>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264,371</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243,645</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740,414</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704,989</w:t>
            </w:r>
          </w:p>
        </w:tc>
      </w:tr>
      <w:tr>
        <w:trPr>
          <w:trHeight w:val="133"/>
        </w:trPr>
        <w:tc>
          <w:tcPr>
            <w:tcW w:w="5540" w:type="dxa"/>
            <w:vAlign w:val="bottom"/>
            <w:tcBorders>
              <w:bottom w:val="single" w:sz="8" w:color="CCEEFF"/>
            </w:tcBorders>
            <w:gridSpan w:val="2"/>
          </w:tcPr>
          <w:p>
            <w:pPr>
              <w:ind w:left="3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2,450,824</w:t>
            </w:r>
          </w:p>
        </w:tc>
        <w:tc>
          <w:tcPr>
            <w:tcW w:w="24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2,260,929</w:t>
            </w:r>
          </w:p>
        </w:tc>
        <w:tc>
          <w:tcPr>
            <w:tcW w:w="2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6,868,451</w:t>
            </w:r>
          </w:p>
        </w:tc>
        <w:tc>
          <w:tcPr>
            <w:tcW w:w="22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7,375,680</w:t>
            </w:r>
          </w:p>
        </w:tc>
        <w:tc>
          <w:tcPr>
            <w:tcW w:w="120" w:type="dxa"/>
            <w:vAlign w:val="bottom"/>
            <w:tcBorders>
              <w:bottom w:val="single" w:sz="8" w:color="CCEEFF"/>
            </w:tcBorders>
          </w:tcPr>
          <w:p>
            <w:pPr>
              <w:spacing w:after="0"/>
              <w:rPr>
                <w:sz w:val="11"/>
                <w:szCs w:val="11"/>
                <w:color w:val="auto"/>
              </w:rPr>
            </w:pPr>
          </w:p>
        </w:tc>
      </w:tr>
      <w:tr>
        <w:trPr>
          <w:trHeight w:val="133"/>
        </w:trPr>
        <w:tc>
          <w:tcPr>
            <w:tcW w:w="55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612,400</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530,553</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2,060,870</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1,840,787</w:t>
            </w:r>
          </w:p>
        </w:tc>
        <w:tc>
          <w:tcPr>
            <w:tcW w:w="120" w:type="dxa"/>
            <w:vAlign w:val="bottom"/>
            <w:shd w:val="clear" w:color="auto" w:fill="CCEEFF"/>
          </w:tcPr>
          <w:p>
            <w:pPr>
              <w:spacing w:after="0"/>
              <w:rPr>
                <w:sz w:val="11"/>
                <w:szCs w:val="11"/>
                <w:color w:val="auto"/>
              </w:rPr>
            </w:pPr>
          </w:p>
        </w:tc>
      </w:tr>
      <w:tr>
        <w:trPr>
          <w:trHeight w:val="144"/>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2"/>
                <w:szCs w:val="12"/>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300,576</w:t>
            </w:r>
          </w:p>
        </w:tc>
        <w:tc>
          <w:tcPr>
            <w:tcW w:w="2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222,283</w:t>
            </w: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822,640</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624,140</w:t>
            </w: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Losses on Offshore Wind Investments</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464,019</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464,019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401,000</w:t>
            </w:r>
          </w:p>
        </w:tc>
      </w:tr>
      <w:tr>
        <w:trPr>
          <w:trHeight w:val="15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80" w:type="dxa"/>
            <w:vAlign w:val="bottom"/>
          </w:tcPr>
          <w:p>
            <w:pPr>
              <w:spacing w:after="0"/>
              <w:rPr>
                <w:sz w:val="13"/>
                <w:szCs w:val="13"/>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112,555</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79,123</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318,870</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262,980</w:t>
            </w: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(Loss)/Income Before Income Tax Expense</w:t>
            </w: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(39,640)</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387,393</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1,093,081</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1,078,627</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76,537</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45,850</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348,309</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226,743</w:t>
            </w:r>
          </w:p>
        </w:tc>
      </w:tr>
      <w:tr>
        <w:trPr>
          <w:trHeight w:val="133"/>
        </w:trPr>
        <w:tc>
          <w:tcPr>
            <w:tcW w:w="554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(Loss)/Income</w:t>
            </w: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(116,177)</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341,543</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744,772</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851,884</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80" w:type="dxa"/>
            <w:vAlign w:val="bottom"/>
          </w:tcPr>
          <w:p>
            <w:pPr>
              <w:spacing w:after="0"/>
              <w:rPr>
                <w:sz w:val="13"/>
                <w:szCs w:val="13"/>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1,880</w:t>
            </w:r>
          </w:p>
        </w:tc>
        <w:tc>
          <w:tcPr>
            <w:tcW w:w="2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1,880</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5,639</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5,639</w:t>
            </w:r>
          </w:p>
        </w:tc>
      </w:tr>
      <w:tr>
        <w:trPr>
          <w:trHeight w:val="149"/>
        </w:trPr>
        <w:tc>
          <w:tcPr>
            <w:tcW w:w="554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(Loss)/Income Attributable to Common Shareholders</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(118,057</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339,663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739,133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846,245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(Loss)/Earnings Per Common Share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(0.33)</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0.97</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2.09</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2.42</w:t>
            </w:r>
          </w:p>
        </w:tc>
      </w:tr>
      <w:tr>
        <w:trPr>
          <w:trHeight w:val="144"/>
        </w:trPr>
        <w:tc>
          <w:tcPr>
            <w:tcW w:w="5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(Loss)/Earnings Per Common Share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(0.33)</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0.97</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2.08</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2.42</w:t>
            </w:r>
          </w:p>
        </w:tc>
      </w:tr>
      <w:tr>
        <w:trPr>
          <w:trHeight w:val="144"/>
        </w:trPr>
        <w:tc>
          <w:tcPr>
            <w:tcW w:w="5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tcPr>
          <w:p>
            <w:pPr>
              <w:spacing w:after="0"/>
              <w:rPr>
                <w:sz w:val="14"/>
                <w:szCs w:val="14"/>
                <w:color w:val="auto"/>
              </w:rPr>
            </w:pPr>
          </w:p>
        </w:tc>
        <w:tc>
          <w:tcPr>
            <w:tcW w:w="13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359,520,518</w:t>
            </w:r>
          </w:p>
        </w:tc>
        <w:tc>
          <w:tcPr>
            <w:tcW w:w="2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349,704,155</w:t>
            </w:r>
          </w:p>
        </w:tc>
        <w:tc>
          <w:tcPr>
            <w:tcW w:w="2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354,483,338</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349,461,219</w:t>
            </w:r>
          </w:p>
        </w:tc>
      </w:tr>
      <w:tr>
        <w:trPr>
          <w:trHeight w:val="151"/>
        </w:trPr>
        <w:tc>
          <w:tcPr>
            <w:tcW w:w="5540" w:type="dxa"/>
            <w:vAlign w:val="bottom"/>
            <w:tcBorders>
              <w:top w:val="single" w:sz="8" w:color="CCEEFF"/>
              <w:bottom w:val="single" w:sz="8" w:color="CCEEFF"/>
            </w:tcBorders>
            <w:gridSpan w:val="2"/>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359,817,657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349,851,969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354,744,846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349,731,320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9" w:name="page10"/>
    <w:bookmarkEnd w:id="9"/>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2024-11-04T15:58:14Z</dcterms:created>
  <dcterms:modified xsi:type="dcterms:W3CDTF">2024-11-04T15:58:14Z</dcterms:modified>
</cp:coreProperties>
</file>