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185420</wp:posOffset>
            </wp:positionH>
            <wp:positionV relativeFrom="page">
              <wp:posOffset>134620</wp:posOffset>
            </wp:positionV>
            <wp:extent cx="7178040" cy="114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157480</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25"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130"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7"/>
          <w:szCs w:val="17"/>
          <w:b w:val="1"/>
          <w:bCs w:val="1"/>
          <w:color w:val="auto"/>
        </w:rPr>
        <w:t>FORM 8-K</w:t>
      </w:r>
    </w:p>
    <w:p>
      <w:pPr>
        <w:spacing w:after="0" w:line="147"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7"/>
          <w:szCs w:val="17"/>
          <w:b w:val="1"/>
          <w:bCs w:val="1"/>
          <w:color w:val="auto"/>
        </w:rPr>
        <w:t>CURRENT REPORT</w:t>
      </w:r>
    </w:p>
    <w:p>
      <w:pPr>
        <w:spacing w:after="0" w:line="22"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Pursuant to Section 13 or 15(d) of the Securities Exchange Act of 1934</w:t>
      </w:r>
    </w:p>
    <w:p>
      <w:pPr>
        <w:spacing w:after="0" w:line="5"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 xml:space="preserve">Date of Report (Date of earliest event reported): </w:t>
      </w:r>
      <w:r>
        <w:rPr>
          <w:rFonts w:ascii="Times New Roman" w:cs="Times New Roman" w:eastAsia="Times New Roman" w:hAnsi="Times New Roman"/>
          <w:sz w:val="12"/>
          <w:szCs w:val="12"/>
          <w:b w:val="1"/>
          <w:bCs w:val="1"/>
          <w:color w:val="auto"/>
        </w:rPr>
        <w:t>July 31, 2024 (July 31, 2024)</w:t>
      </w:r>
    </w:p>
    <w:p>
      <w:pPr>
        <w:spacing w:after="0" w:line="139" w:lineRule="exact"/>
        <w:rPr>
          <w:sz w:val="24"/>
          <w:szCs w:val="24"/>
          <w:color w:val="auto"/>
        </w:rPr>
      </w:pPr>
    </w:p>
    <w:tbl>
      <w:tblPr>
        <w:tblLayout w:type="fixed"/>
        <w:tblInd w:w="608" w:type="dxa"/>
        <w:tblCellMar>
          <w:top w:w="0" w:type="dxa"/>
          <w:left w:w="0" w:type="dxa"/>
          <w:bottom w:w="0" w:type="dxa"/>
          <w:right w:w="0" w:type="dxa"/>
        </w:tblCellMar>
      </w:tblPr>
      <w:tr>
        <w:trPr>
          <w:trHeight w:val="144"/>
        </w:trPr>
        <w:tc>
          <w:tcPr>
            <w:tcW w:w="600" w:type="dxa"/>
            <w:vAlign w:val="bottom"/>
          </w:tcPr>
          <w:p>
            <w:pPr>
              <w:spacing w:after="0"/>
              <w:rPr>
                <w:sz w:val="20"/>
                <w:szCs w:val="20"/>
                <w:color w:val="auto"/>
              </w:rPr>
            </w:pPr>
            <w:r>
              <w:rPr>
                <w:rFonts w:ascii="Times New Roman" w:cs="Times New Roman" w:eastAsia="Times New Roman" w:hAnsi="Times New Roman"/>
                <w:sz w:val="12"/>
                <w:szCs w:val="12"/>
                <w:color w:val="auto"/>
                <w:w w:val="95"/>
              </w:rPr>
              <w:t>Commission</w:t>
            </w:r>
          </w:p>
        </w:tc>
        <w:tc>
          <w:tcPr>
            <w:tcW w:w="7560" w:type="dxa"/>
            <w:vAlign w:val="bottom"/>
            <w:gridSpan w:val="3"/>
          </w:tcPr>
          <w:p>
            <w:pPr>
              <w:jc w:val="center"/>
              <w:ind w:left="1028"/>
              <w:spacing w:after="0"/>
              <w:rPr>
                <w:sz w:val="20"/>
                <w:szCs w:val="20"/>
                <w:color w:val="auto"/>
              </w:rPr>
            </w:pPr>
            <w:r>
              <w:rPr>
                <w:rFonts w:ascii="Times New Roman" w:cs="Times New Roman" w:eastAsia="Times New Roman" w:hAnsi="Times New Roman"/>
                <w:sz w:val="12"/>
                <w:szCs w:val="12"/>
                <w:color w:val="auto"/>
              </w:rPr>
              <w:t>Registrant; State of Incorporation</w:t>
            </w:r>
          </w:p>
        </w:tc>
        <w:tc>
          <w:tcPr>
            <w:tcW w:w="1100" w:type="dxa"/>
            <w:vAlign w:val="bottom"/>
          </w:tcPr>
          <w:p>
            <w:pPr>
              <w:spacing w:after="0"/>
              <w:rPr>
                <w:sz w:val="12"/>
                <w:szCs w:val="12"/>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I.R.S. Employer</w:t>
            </w:r>
          </w:p>
        </w:tc>
      </w:tr>
      <w:tr>
        <w:trPr>
          <w:trHeight w:val="128"/>
        </w:trPr>
        <w:tc>
          <w:tcPr>
            <w:tcW w:w="600" w:type="dxa"/>
            <w:vAlign w:val="bottom"/>
          </w:tcPr>
          <w:p>
            <w:pPr>
              <w:spacing w:after="0" w:line="128" w:lineRule="exact"/>
              <w:rPr>
                <w:sz w:val="20"/>
                <w:szCs w:val="20"/>
                <w:color w:val="auto"/>
              </w:rPr>
            </w:pPr>
            <w:r>
              <w:rPr>
                <w:rFonts w:ascii="Times New Roman" w:cs="Times New Roman" w:eastAsia="Times New Roman" w:hAnsi="Times New Roman"/>
                <w:sz w:val="12"/>
                <w:szCs w:val="12"/>
                <w:color w:val="auto"/>
                <w:w w:val="95"/>
              </w:rPr>
              <w:t>File Number</w:t>
            </w:r>
          </w:p>
        </w:tc>
        <w:tc>
          <w:tcPr>
            <w:tcW w:w="3540" w:type="dxa"/>
            <w:vAlign w:val="bottom"/>
          </w:tcPr>
          <w:p>
            <w:pPr>
              <w:spacing w:after="0"/>
              <w:rPr>
                <w:sz w:val="11"/>
                <w:szCs w:val="11"/>
                <w:color w:val="auto"/>
              </w:rPr>
            </w:pPr>
          </w:p>
        </w:tc>
        <w:tc>
          <w:tcPr>
            <w:tcW w:w="4020" w:type="dxa"/>
            <w:vAlign w:val="bottom"/>
            <w:gridSpan w:val="2"/>
          </w:tcPr>
          <w:p>
            <w:pPr>
              <w:jc w:val="center"/>
              <w:ind w:right="2440"/>
              <w:spacing w:after="0" w:line="128" w:lineRule="exact"/>
              <w:rPr>
                <w:sz w:val="20"/>
                <w:szCs w:val="20"/>
                <w:color w:val="auto"/>
              </w:rPr>
            </w:pPr>
            <w:r>
              <w:rPr>
                <w:rFonts w:ascii="Times New Roman" w:cs="Times New Roman" w:eastAsia="Times New Roman" w:hAnsi="Times New Roman"/>
                <w:sz w:val="12"/>
                <w:szCs w:val="12"/>
                <w:color w:val="auto"/>
                <w:w w:val="99"/>
              </w:rPr>
              <w:t>Address; and Telephone Number</w:t>
            </w:r>
          </w:p>
        </w:tc>
        <w:tc>
          <w:tcPr>
            <w:tcW w:w="1940" w:type="dxa"/>
            <w:vAlign w:val="bottom"/>
            <w:gridSpan w:val="2"/>
          </w:tcPr>
          <w:p>
            <w:pPr>
              <w:jc w:val="center"/>
              <w:ind w:left="1040"/>
              <w:spacing w:after="0" w:line="128" w:lineRule="exact"/>
              <w:rPr>
                <w:sz w:val="20"/>
                <w:szCs w:val="20"/>
                <w:color w:val="auto"/>
              </w:rPr>
            </w:pPr>
            <w:r>
              <w:rPr>
                <w:rFonts w:ascii="Times New Roman" w:cs="Times New Roman" w:eastAsia="Times New Roman" w:hAnsi="Times New Roman"/>
                <w:sz w:val="12"/>
                <w:szCs w:val="12"/>
                <w:color w:val="auto"/>
                <w:w w:val="98"/>
              </w:rPr>
              <w:t>Identification No.</w:t>
            </w:r>
          </w:p>
        </w:tc>
      </w:tr>
      <w:tr>
        <w:trPr>
          <w:trHeight w:val="20"/>
        </w:trPr>
        <w:tc>
          <w:tcPr>
            <w:tcW w:w="600" w:type="dxa"/>
            <w:vAlign w:val="bottom"/>
            <w:shd w:val="clear" w:color="auto" w:fill="000000"/>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r>
      <w:tr>
        <w:trPr>
          <w:trHeight w:val="338"/>
        </w:trPr>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1-5324</w:t>
            </w:r>
          </w:p>
        </w:tc>
        <w:tc>
          <w:tcPr>
            <w:tcW w:w="7560" w:type="dxa"/>
            <w:vAlign w:val="bottom"/>
            <w:gridSpan w:val="3"/>
          </w:tcPr>
          <w:p>
            <w:pPr>
              <w:jc w:val="center"/>
              <w:ind w:left="1028"/>
              <w:spacing w:after="0"/>
              <w:rPr>
                <w:sz w:val="20"/>
                <w:szCs w:val="20"/>
                <w:color w:val="auto"/>
              </w:rPr>
            </w:pPr>
            <w:r>
              <w:rPr>
                <w:rFonts w:ascii="Times New Roman" w:cs="Times New Roman" w:eastAsia="Times New Roman" w:hAnsi="Times New Roman"/>
                <w:sz w:val="17"/>
                <w:szCs w:val="17"/>
                <w:b w:val="1"/>
                <w:bCs w:val="1"/>
                <w:color w:val="auto"/>
                <w:w w:val="99"/>
              </w:rPr>
              <w:t>EVERSOURCE ENERGY</w:t>
            </w:r>
          </w:p>
        </w:tc>
        <w:tc>
          <w:tcPr>
            <w:tcW w:w="1940" w:type="dxa"/>
            <w:vAlign w:val="bottom"/>
            <w:gridSpan w:val="2"/>
          </w:tcPr>
          <w:p>
            <w:pPr>
              <w:jc w:val="center"/>
              <w:ind w:left="1020"/>
              <w:spacing w:after="0"/>
              <w:rPr>
                <w:sz w:val="20"/>
                <w:szCs w:val="20"/>
                <w:color w:val="auto"/>
              </w:rPr>
            </w:pPr>
            <w:r>
              <w:rPr>
                <w:rFonts w:ascii="Times New Roman" w:cs="Times New Roman" w:eastAsia="Times New Roman" w:hAnsi="Times New Roman"/>
                <w:sz w:val="12"/>
                <w:szCs w:val="12"/>
                <w:b w:val="1"/>
                <w:bCs w:val="1"/>
                <w:color w:val="auto"/>
                <w:w w:val="99"/>
              </w:rPr>
              <w:t>04-2147929</w:t>
            </w:r>
          </w:p>
        </w:tc>
      </w:tr>
      <w:tr>
        <w:trPr>
          <w:trHeight w:val="144"/>
        </w:trPr>
        <w:tc>
          <w:tcPr>
            <w:tcW w:w="600" w:type="dxa"/>
            <w:vAlign w:val="bottom"/>
          </w:tcPr>
          <w:p>
            <w:pPr>
              <w:spacing w:after="0"/>
              <w:rPr>
                <w:sz w:val="12"/>
                <w:szCs w:val="12"/>
                <w:color w:val="auto"/>
              </w:rPr>
            </w:pPr>
          </w:p>
        </w:tc>
        <w:tc>
          <w:tcPr>
            <w:tcW w:w="7560" w:type="dxa"/>
            <w:vAlign w:val="bottom"/>
            <w:gridSpan w:val="3"/>
          </w:tcPr>
          <w:p>
            <w:pPr>
              <w:jc w:val="center"/>
              <w:ind w:left="1028"/>
              <w:spacing w:after="0"/>
              <w:rPr>
                <w:sz w:val="20"/>
                <w:szCs w:val="20"/>
                <w:color w:val="auto"/>
              </w:rPr>
            </w:pPr>
            <w:r>
              <w:rPr>
                <w:rFonts w:ascii="Times New Roman" w:cs="Times New Roman" w:eastAsia="Times New Roman" w:hAnsi="Times New Roman"/>
                <w:sz w:val="12"/>
                <w:szCs w:val="12"/>
                <w:color w:val="auto"/>
                <w:w w:val="99"/>
              </w:rPr>
              <w:t>(a Massachusetts voluntary association)</w:t>
            </w:r>
          </w:p>
        </w:tc>
        <w:tc>
          <w:tcPr>
            <w:tcW w:w="110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4"/>
        </w:trPr>
        <w:tc>
          <w:tcPr>
            <w:tcW w:w="60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4020" w:type="dxa"/>
            <w:vAlign w:val="bottom"/>
            <w:gridSpan w:val="2"/>
          </w:tcPr>
          <w:p>
            <w:pPr>
              <w:jc w:val="center"/>
              <w:ind w:right="2440"/>
              <w:spacing w:after="0"/>
              <w:rPr>
                <w:sz w:val="20"/>
                <w:szCs w:val="20"/>
                <w:color w:val="auto"/>
              </w:rPr>
            </w:pPr>
            <w:r>
              <w:rPr>
                <w:rFonts w:ascii="Times New Roman" w:cs="Times New Roman" w:eastAsia="Times New Roman" w:hAnsi="Times New Roman"/>
                <w:sz w:val="12"/>
                <w:szCs w:val="12"/>
                <w:color w:val="auto"/>
                <w:w w:val="98"/>
              </w:rPr>
              <w:t>300 Cadwell Drive</w:t>
            </w:r>
          </w:p>
        </w:tc>
        <w:tc>
          <w:tcPr>
            <w:tcW w:w="110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4"/>
        </w:trPr>
        <w:tc>
          <w:tcPr>
            <w:tcW w:w="600" w:type="dxa"/>
            <w:vAlign w:val="bottom"/>
          </w:tcPr>
          <w:p>
            <w:pPr>
              <w:spacing w:after="0"/>
              <w:rPr>
                <w:sz w:val="12"/>
                <w:szCs w:val="12"/>
                <w:color w:val="auto"/>
              </w:rPr>
            </w:pPr>
          </w:p>
        </w:tc>
        <w:tc>
          <w:tcPr>
            <w:tcW w:w="7560" w:type="dxa"/>
            <w:vAlign w:val="bottom"/>
            <w:gridSpan w:val="3"/>
          </w:tcPr>
          <w:p>
            <w:pPr>
              <w:jc w:val="center"/>
              <w:ind w:left="1028"/>
              <w:spacing w:after="0"/>
              <w:rPr>
                <w:sz w:val="20"/>
                <w:szCs w:val="20"/>
                <w:color w:val="auto"/>
              </w:rPr>
            </w:pPr>
            <w:r>
              <w:rPr>
                <w:rFonts w:ascii="Times New Roman" w:cs="Times New Roman" w:eastAsia="Times New Roman" w:hAnsi="Times New Roman"/>
                <w:sz w:val="12"/>
                <w:szCs w:val="12"/>
                <w:color w:val="auto"/>
                <w:w w:val="99"/>
              </w:rPr>
              <w:t>Springfield, Massachusetts 01104</w:t>
            </w:r>
          </w:p>
        </w:tc>
        <w:tc>
          <w:tcPr>
            <w:tcW w:w="110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55"/>
        </w:trPr>
        <w:tc>
          <w:tcPr>
            <w:tcW w:w="60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402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Telephone: (800) 286-5000</w:t>
            </w:r>
          </w:p>
        </w:tc>
        <w:tc>
          <w:tcPr>
            <w:tcW w:w="110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331"/>
        </w:trPr>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0-00404</w:t>
            </w:r>
          </w:p>
        </w:tc>
        <w:tc>
          <w:tcPr>
            <w:tcW w:w="7560" w:type="dxa"/>
            <w:vAlign w:val="bottom"/>
            <w:gridSpan w:val="3"/>
          </w:tcPr>
          <w:p>
            <w:pPr>
              <w:jc w:val="center"/>
              <w:ind w:left="1028"/>
              <w:spacing w:after="0"/>
              <w:rPr>
                <w:sz w:val="20"/>
                <w:szCs w:val="20"/>
                <w:color w:val="auto"/>
              </w:rPr>
            </w:pPr>
            <w:r>
              <w:rPr>
                <w:rFonts w:ascii="Times New Roman" w:cs="Times New Roman" w:eastAsia="Times New Roman" w:hAnsi="Times New Roman"/>
                <w:sz w:val="17"/>
                <w:szCs w:val="17"/>
                <w:b w:val="1"/>
                <w:bCs w:val="1"/>
                <w:color w:val="auto"/>
                <w:w w:val="98"/>
              </w:rPr>
              <w:t>THE CONNECTICUT LIGHT AND POWER COMPANY</w:t>
            </w:r>
          </w:p>
        </w:tc>
        <w:tc>
          <w:tcPr>
            <w:tcW w:w="1940" w:type="dxa"/>
            <w:vAlign w:val="bottom"/>
            <w:gridSpan w:val="2"/>
          </w:tcPr>
          <w:p>
            <w:pPr>
              <w:jc w:val="center"/>
              <w:ind w:left="1020"/>
              <w:spacing w:after="0"/>
              <w:rPr>
                <w:sz w:val="20"/>
                <w:szCs w:val="20"/>
                <w:color w:val="auto"/>
              </w:rPr>
            </w:pPr>
            <w:r>
              <w:rPr>
                <w:rFonts w:ascii="Times New Roman" w:cs="Times New Roman" w:eastAsia="Times New Roman" w:hAnsi="Times New Roman"/>
                <w:sz w:val="12"/>
                <w:szCs w:val="12"/>
                <w:b w:val="1"/>
                <w:bCs w:val="1"/>
                <w:color w:val="auto"/>
                <w:w w:val="99"/>
              </w:rPr>
              <w:t>06-0303850</w:t>
            </w:r>
          </w:p>
        </w:tc>
      </w:tr>
      <w:tr>
        <w:trPr>
          <w:trHeight w:val="144"/>
        </w:trPr>
        <w:tc>
          <w:tcPr>
            <w:tcW w:w="60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4020" w:type="dxa"/>
            <w:vAlign w:val="bottom"/>
            <w:gridSpan w:val="2"/>
          </w:tcPr>
          <w:p>
            <w:pPr>
              <w:jc w:val="center"/>
              <w:ind w:right="2440"/>
              <w:spacing w:after="0"/>
              <w:rPr>
                <w:sz w:val="20"/>
                <w:szCs w:val="20"/>
                <w:color w:val="auto"/>
              </w:rPr>
            </w:pPr>
            <w:r>
              <w:rPr>
                <w:rFonts w:ascii="Times New Roman" w:cs="Times New Roman" w:eastAsia="Times New Roman" w:hAnsi="Times New Roman"/>
                <w:sz w:val="12"/>
                <w:szCs w:val="12"/>
                <w:color w:val="auto"/>
              </w:rPr>
              <w:t>(a Connecticut corporation)</w:t>
            </w:r>
          </w:p>
        </w:tc>
        <w:tc>
          <w:tcPr>
            <w:tcW w:w="110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4"/>
        </w:trPr>
        <w:tc>
          <w:tcPr>
            <w:tcW w:w="60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4020" w:type="dxa"/>
            <w:vAlign w:val="bottom"/>
            <w:gridSpan w:val="2"/>
          </w:tcPr>
          <w:p>
            <w:pPr>
              <w:jc w:val="center"/>
              <w:ind w:right="2440"/>
              <w:spacing w:after="0"/>
              <w:rPr>
                <w:sz w:val="20"/>
                <w:szCs w:val="20"/>
                <w:color w:val="auto"/>
              </w:rPr>
            </w:pPr>
            <w:r>
              <w:rPr>
                <w:rFonts w:ascii="Times New Roman" w:cs="Times New Roman" w:eastAsia="Times New Roman" w:hAnsi="Times New Roman"/>
                <w:sz w:val="12"/>
                <w:szCs w:val="12"/>
                <w:color w:val="auto"/>
              </w:rPr>
              <w:t>107 Selden Street</w:t>
            </w:r>
          </w:p>
        </w:tc>
        <w:tc>
          <w:tcPr>
            <w:tcW w:w="110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4"/>
        </w:trPr>
        <w:tc>
          <w:tcPr>
            <w:tcW w:w="60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4020" w:type="dxa"/>
            <w:vAlign w:val="bottom"/>
            <w:gridSpan w:val="2"/>
          </w:tcPr>
          <w:p>
            <w:pPr>
              <w:jc w:val="center"/>
              <w:ind w:right="2440"/>
              <w:spacing w:after="0"/>
              <w:rPr>
                <w:sz w:val="20"/>
                <w:szCs w:val="20"/>
                <w:color w:val="auto"/>
              </w:rPr>
            </w:pPr>
            <w:r>
              <w:rPr>
                <w:rFonts w:ascii="Times New Roman" w:cs="Times New Roman" w:eastAsia="Times New Roman" w:hAnsi="Times New Roman"/>
                <w:sz w:val="12"/>
                <w:szCs w:val="12"/>
                <w:color w:val="auto"/>
                <w:w w:val="99"/>
              </w:rPr>
              <w:t>Berlin, Connecticut 06037-1616</w:t>
            </w:r>
          </w:p>
        </w:tc>
        <w:tc>
          <w:tcPr>
            <w:tcW w:w="110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55"/>
        </w:trPr>
        <w:tc>
          <w:tcPr>
            <w:tcW w:w="60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402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Telephone: (800) 286-5000</w:t>
            </w:r>
          </w:p>
        </w:tc>
        <w:tc>
          <w:tcPr>
            <w:tcW w:w="110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331"/>
        </w:trPr>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1-02301</w:t>
            </w:r>
          </w:p>
        </w:tc>
        <w:tc>
          <w:tcPr>
            <w:tcW w:w="7560" w:type="dxa"/>
            <w:vAlign w:val="bottom"/>
            <w:gridSpan w:val="3"/>
          </w:tcPr>
          <w:p>
            <w:pPr>
              <w:jc w:val="center"/>
              <w:ind w:left="1028"/>
              <w:spacing w:after="0"/>
              <w:rPr>
                <w:sz w:val="20"/>
                <w:szCs w:val="20"/>
                <w:color w:val="auto"/>
              </w:rPr>
            </w:pPr>
            <w:r>
              <w:rPr>
                <w:rFonts w:ascii="Times New Roman" w:cs="Times New Roman" w:eastAsia="Times New Roman" w:hAnsi="Times New Roman"/>
                <w:sz w:val="17"/>
                <w:szCs w:val="17"/>
                <w:b w:val="1"/>
                <w:bCs w:val="1"/>
                <w:color w:val="auto"/>
                <w:w w:val="97"/>
              </w:rPr>
              <w:t>NSTAR ELECTRIC COMPANY</w:t>
            </w:r>
          </w:p>
        </w:tc>
        <w:tc>
          <w:tcPr>
            <w:tcW w:w="1940" w:type="dxa"/>
            <w:vAlign w:val="bottom"/>
            <w:gridSpan w:val="2"/>
          </w:tcPr>
          <w:p>
            <w:pPr>
              <w:jc w:val="center"/>
              <w:ind w:left="1020"/>
              <w:spacing w:after="0"/>
              <w:rPr>
                <w:sz w:val="20"/>
                <w:szCs w:val="20"/>
                <w:color w:val="auto"/>
              </w:rPr>
            </w:pPr>
            <w:r>
              <w:rPr>
                <w:rFonts w:ascii="Times New Roman" w:cs="Times New Roman" w:eastAsia="Times New Roman" w:hAnsi="Times New Roman"/>
                <w:sz w:val="12"/>
                <w:szCs w:val="12"/>
                <w:b w:val="1"/>
                <w:bCs w:val="1"/>
                <w:color w:val="auto"/>
                <w:w w:val="99"/>
              </w:rPr>
              <w:t>04-1278810</w:t>
            </w:r>
          </w:p>
        </w:tc>
      </w:tr>
      <w:tr>
        <w:trPr>
          <w:trHeight w:val="144"/>
        </w:trPr>
        <w:tc>
          <w:tcPr>
            <w:tcW w:w="60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4020" w:type="dxa"/>
            <w:vAlign w:val="bottom"/>
            <w:gridSpan w:val="2"/>
          </w:tcPr>
          <w:p>
            <w:pPr>
              <w:jc w:val="center"/>
              <w:ind w:right="2420"/>
              <w:spacing w:after="0"/>
              <w:rPr>
                <w:sz w:val="20"/>
                <w:szCs w:val="20"/>
                <w:color w:val="auto"/>
              </w:rPr>
            </w:pPr>
            <w:r>
              <w:rPr>
                <w:rFonts w:ascii="Times New Roman" w:cs="Times New Roman" w:eastAsia="Times New Roman" w:hAnsi="Times New Roman"/>
                <w:sz w:val="12"/>
                <w:szCs w:val="12"/>
                <w:color w:val="auto"/>
                <w:w w:val="99"/>
              </w:rPr>
              <w:t>(a Massachusetts corporation)</w:t>
            </w:r>
          </w:p>
        </w:tc>
        <w:tc>
          <w:tcPr>
            <w:tcW w:w="110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4"/>
        </w:trPr>
        <w:tc>
          <w:tcPr>
            <w:tcW w:w="60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4020" w:type="dxa"/>
            <w:vAlign w:val="bottom"/>
            <w:gridSpan w:val="2"/>
          </w:tcPr>
          <w:p>
            <w:pPr>
              <w:jc w:val="center"/>
              <w:ind w:right="2440"/>
              <w:spacing w:after="0"/>
              <w:rPr>
                <w:sz w:val="20"/>
                <w:szCs w:val="20"/>
                <w:color w:val="auto"/>
              </w:rPr>
            </w:pPr>
            <w:r>
              <w:rPr>
                <w:rFonts w:ascii="Times New Roman" w:cs="Times New Roman" w:eastAsia="Times New Roman" w:hAnsi="Times New Roman"/>
                <w:sz w:val="12"/>
                <w:szCs w:val="12"/>
                <w:color w:val="auto"/>
                <w:w w:val="98"/>
              </w:rPr>
              <w:t>800 Boylston Street</w:t>
            </w:r>
          </w:p>
        </w:tc>
        <w:tc>
          <w:tcPr>
            <w:tcW w:w="110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4"/>
        </w:trPr>
        <w:tc>
          <w:tcPr>
            <w:tcW w:w="60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4020" w:type="dxa"/>
            <w:vAlign w:val="bottom"/>
            <w:gridSpan w:val="2"/>
          </w:tcPr>
          <w:p>
            <w:pPr>
              <w:jc w:val="center"/>
              <w:ind w:right="2440"/>
              <w:spacing w:after="0"/>
              <w:rPr>
                <w:sz w:val="20"/>
                <w:szCs w:val="20"/>
                <w:color w:val="auto"/>
              </w:rPr>
            </w:pPr>
            <w:r>
              <w:rPr>
                <w:rFonts w:ascii="Times New Roman" w:cs="Times New Roman" w:eastAsia="Times New Roman" w:hAnsi="Times New Roman"/>
                <w:sz w:val="12"/>
                <w:szCs w:val="12"/>
                <w:color w:val="auto"/>
                <w:w w:val="99"/>
              </w:rPr>
              <w:t>Boston, Massachusetts 02199</w:t>
            </w:r>
          </w:p>
        </w:tc>
        <w:tc>
          <w:tcPr>
            <w:tcW w:w="110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55"/>
        </w:trPr>
        <w:tc>
          <w:tcPr>
            <w:tcW w:w="60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4020" w:type="dxa"/>
            <w:vAlign w:val="bottom"/>
            <w:gridSpan w:val="2"/>
          </w:tcPr>
          <w:p>
            <w:pPr>
              <w:jc w:val="center"/>
              <w:ind w:right="2440"/>
              <w:spacing w:after="0"/>
              <w:rPr>
                <w:sz w:val="20"/>
                <w:szCs w:val="20"/>
                <w:color w:val="auto"/>
              </w:rPr>
            </w:pPr>
            <w:r>
              <w:rPr>
                <w:rFonts w:ascii="Times New Roman" w:cs="Times New Roman" w:eastAsia="Times New Roman" w:hAnsi="Times New Roman"/>
                <w:sz w:val="12"/>
                <w:szCs w:val="12"/>
                <w:color w:val="auto"/>
                <w:w w:val="98"/>
              </w:rPr>
              <w:t>Telephone: (800) 286-5000</w:t>
            </w:r>
          </w:p>
        </w:tc>
        <w:tc>
          <w:tcPr>
            <w:tcW w:w="110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331"/>
        </w:trPr>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1-6392</w:t>
            </w:r>
          </w:p>
        </w:tc>
        <w:tc>
          <w:tcPr>
            <w:tcW w:w="7560" w:type="dxa"/>
            <w:vAlign w:val="bottom"/>
            <w:gridSpan w:val="3"/>
          </w:tcPr>
          <w:p>
            <w:pPr>
              <w:jc w:val="center"/>
              <w:ind w:left="1048"/>
              <w:spacing w:after="0"/>
              <w:rPr>
                <w:sz w:val="20"/>
                <w:szCs w:val="20"/>
                <w:color w:val="auto"/>
              </w:rPr>
            </w:pPr>
            <w:r>
              <w:rPr>
                <w:rFonts w:ascii="Times New Roman" w:cs="Times New Roman" w:eastAsia="Times New Roman" w:hAnsi="Times New Roman"/>
                <w:sz w:val="17"/>
                <w:szCs w:val="17"/>
                <w:b w:val="1"/>
                <w:bCs w:val="1"/>
                <w:color w:val="auto"/>
                <w:w w:val="98"/>
              </w:rPr>
              <w:t>PUBLIC SERVICE COMPANY OF NEW HAMPSHIRE</w:t>
            </w:r>
          </w:p>
        </w:tc>
        <w:tc>
          <w:tcPr>
            <w:tcW w:w="1940" w:type="dxa"/>
            <w:vAlign w:val="bottom"/>
            <w:gridSpan w:val="2"/>
          </w:tcPr>
          <w:p>
            <w:pPr>
              <w:jc w:val="center"/>
              <w:ind w:left="1020"/>
              <w:spacing w:after="0"/>
              <w:rPr>
                <w:sz w:val="20"/>
                <w:szCs w:val="20"/>
                <w:color w:val="auto"/>
              </w:rPr>
            </w:pPr>
            <w:r>
              <w:rPr>
                <w:rFonts w:ascii="Times New Roman" w:cs="Times New Roman" w:eastAsia="Times New Roman" w:hAnsi="Times New Roman"/>
                <w:sz w:val="12"/>
                <w:szCs w:val="12"/>
                <w:b w:val="1"/>
                <w:bCs w:val="1"/>
                <w:color w:val="auto"/>
                <w:w w:val="99"/>
              </w:rPr>
              <w:t>02-0181050</w:t>
            </w:r>
          </w:p>
        </w:tc>
      </w:tr>
      <w:tr>
        <w:trPr>
          <w:trHeight w:val="144"/>
        </w:trPr>
        <w:tc>
          <w:tcPr>
            <w:tcW w:w="60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4020" w:type="dxa"/>
            <w:vAlign w:val="bottom"/>
            <w:gridSpan w:val="2"/>
          </w:tcPr>
          <w:p>
            <w:pPr>
              <w:jc w:val="center"/>
              <w:ind w:right="2440"/>
              <w:spacing w:after="0"/>
              <w:rPr>
                <w:sz w:val="20"/>
                <w:szCs w:val="20"/>
                <w:color w:val="auto"/>
              </w:rPr>
            </w:pPr>
            <w:r>
              <w:rPr>
                <w:rFonts w:ascii="Times New Roman" w:cs="Times New Roman" w:eastAsia="Times New Roman" w:hAnsi="Times New Roman"/>
                <w:sz w:val="12"/>
                <w:szCs w:val="12"/>
                <w:color w:val="auto"/>
              </w:rPr>
              <w:t>(a New Hampshire corporation)</w:t>
            </w:r>
          </w:p>
        </w:tc>
        <w:tc>
          <w:tcPr>
            <w:tcW w:w="110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4"/>
        </w:trPr>
        <w:tc>
          <w:tcPr>
            <w:tcW w:w="60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4020" w:type="dxa"/>
            <w:vAlign w:val="bottom"/>
            <w:gridSpan w:val="2"/>
          </w:tcPr>
          <w:p>
            <w:pPr>
              <w:jc w:val="center"/>
              <w:ind w:right="2440"/>
              <w:spacing w:after="0"/>
              <w:rPr>
                <w:sz w:val="20"/>
                <w:szCs w:val="20"/>
                <w:color w:val="auto"/>
              </w:rPr>
            </w:pPr>
            <w:r>
              <w:rPr>
                <w:rFonts w:ascii="Times New Roman" w:cs="Times New Roman" w:eastAsia="Times New Roman" w:hAnsi="Times New Roman"/>
                <w:sz w:val="12"/>
                <w:szCs w:val="12"/>
                <w:color w:val="auto"/>
                <w:w w:val="97"/>
              </w:rPr>
              <w:t>Energy Park</w:t>
            </w:r>
          </w:p>
        </w:tc>
        <w:tc>
          <w:tcPr>
            <w:tcW w:w="110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4"/>
        </w:trPr>
        <w:tc>
          <w:tcPr>
            <w:tcW w:w="60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4020" w:type="dxa"/>
            <w:vAlign w:val="bottom"/>
            <w:gridSpan w:val="2"/>
          </w:tcPr>
          <w:p>
            <w:pPr>
              <w:jc w:val="center"/>
              <w:ind w:right="2440"/>
              <w:spacing w:after="0"/>
              <w:rPr>
                <w:sz w:val="20"/>
                <w:szCs w:val="20"/>
                <w:color w:val="auto"/>
              </w:rPr>
            </w:pPr>
            <w:r>
              <w:rPr>
                <w:rFonts w:ascii="Times New Roman" w:cs="Times New Roman" w:eastAsia="Times New Roman" w:hAnsi="Times New Roman"/>
                <w:sz w:val="12"/>
                <w:szCs w:val="12"/>
                <w:color w:val="auto"/>
                <w:w w:val="99"/>
              </w:rPr>
              <w:t>780 North Commercial Street</w:t>
            </w:r>
          </w:p>
        </w:tc>
        <w:tc>
          <w:tcPr>
            <w:tcW w:w="110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4"/>
        </w:trPr>
        <w:tc>
          <w:tcPr>
            <w:tcW w:w="600" w:type="dxa"/>
            <w:vAlign w:val="bottom"/>
          </w:tcPr>
          <w:p>
            <w:pPr>
              <w:spacing w:after="0"/>
              <w:rPr>
                <w:sz w:val="12"/>
                <w:szCs w:val="12"/>
                <w:color w:val="auto"/>
              </w:rPr>
            </w:pPr>
          </w:p>
        </w:tc>
        <w:tc>
          <w:tcPr>
            <w:tcW w:w="7560" w:type="dxa"/>
            <w:vAlign w:val="bottom"/>
            <w:gridSpan w:val="3"/>
          </w:tcPr>
          <w:p>
            <w:pPr>
              <w:jc w:val="center"/>
              <w:ind w:left="1028"/>
              <w:spacing w:after="0"/>
              <w:rPr>
                <w:sz w:val="20"/>
                <w:szCs w:val="20"/>
                <w:color w:val="auto"/>
              </w:rPr>
            </w:pPr>
            <w:r>
              <w:rPr>
                <w:rFonts w:ascii="Times New Roman" w:cs="Times New Roman" w:eastAsia="Times New Roman" w:hAnsi="Times New Roman"/>
                <w:sz w:val="12"/>
                <w:szCs w:val="12"/>
                <w:color w:val="auto"/>
              </w:rPr>
              <w:t>Manchester, New Hampshire 03101-1134</w:t>
            </w:r>
          </w:p>
        </w:tc>
        <w:tc>
          <w:tcPr>
            <w:tcW w:w="110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55"/>
        </w:trPr>
        <w:tc>
          <w:tcPr>
            <w:tcW w:w="60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402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Telephone: (800) 286-5000</w:t>
            </w:r>
          </w:p>
        </w:tc>
        <w:tc>
          <w:tcPr>
            <w:tcW w:w="1100" w:type="dxa"/>
            <w:vAlign w:val="bottom"/>
          </w:tcPr>
          <w:p>
            <w:pPr>
              <w:spacing w:after="0"/>
              <w:rPr>
                <w:sz w:val="13"/>
                <w:szCs w:val="13"/>
                <w:color w:val="auto"/>
              </w:rPr>
            </w:pPr>
          </w:p>
        </w:tc>
        <w:tc>
          <w:tcPr>
            <w:tcW w:w="840" w:type="dxa"/>
            <w:vAlign w:val="bottom"/>
          </w:tcPr>
          <w:p>
            <w:pPr>
              <w:spacing w:after="0"/>
              <w:rPr>
                <w:sz w:val="13"/>
                <w:szCs w:val="13"/>
                <w:color w:val="auto"/>
              </w:rPr>
            </w:pPr>
          </w:p>
        </w:tc>
      </w:tr>
    </w:tbl>
    <w:p>
      <w:pPr>
        <w:spacing w:after="0" w:line="147"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Not Applicable</w:t>
      </w:r>
    </w:p>
    <w:p>
      <w:pPr>
        <w:spacing w:after="0" w:line="2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(Former name or former address, if changed since last report)</w:t>
      </w:r>
    </w:p>
    <w:p>
      <w:pPr>
        <w:spacing w:after="0" w:line="139" w:lineRule="exact"/>
        <w:rPr>
          <w:sz w:val="24"/>
          <w:szCs w:val="24"/>
          <w:color w:val="auto"/>
        </w:rPr>
      </w:pPr>
    </w:p>
    <w:p>
      <w:pPr>
        <w:ind w:left="8"/>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2"/>
          <w:szCs w:val="12"/>
          <w:u w:val="single" w:color="auto"/>
          <w:color w:val="auto"/>
        </w:rPr>
        <w:t>see</w:t>
      </w:r>
      <w:r>
        <w:rPr>
          <w:rFonts w:ascii="Times New Roman" w:cs="Times New Roman" w:eastAsia="Times New Roman" w:hAnsi="Times New Roman"/>
          <w:sz w:val="12"/>
          <w:szCs w:val="12"/>
          <w:color w:val="auto"/>
        </w:rPr>
        <w:t xml:space="preserve"> General Instruction A.2. below):</w:t>
      </w:r>
    </w:p>
    <w:p>
      <w:pPr>
        <w:spacing w:after="0" w:line="150" w:lineRule="exact"/>
        <w:rPr>
          <w:sz w:val="24"/>
          <w:szCs w:val="24"/>
          <w:color w:val="auto"/>
        </w:rPr>
      </w:pPr>
    </w:p>
    <w:p>
      <w:pPr>
        <w:ind w:left="208" w:hanging="208"/>
        <w:spacing w:after="0"/>
        <w:tabs>
          <w:tab w:leader="none" w:pos="20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150" w:lineRule="exact"/>
        <w:rPr>
          <w:rFonts w:ascii="MS PGothic" w:cs="MS PGothic" w:eastAsia="MS PGothic" w:hAnsi="MS PGothic"/>
          <w:sz w:val="12"/>
          <w:szCs w:val="12"/>
          <w:color w:val="auto"/>
        </w:rPr>
      </w:pPr>
    </w:p>
    <w:p>
      <w:pPr>
        <w:ind w:left="208" w:hanging="208"/>
        <w:spacing w:after="0"/>
        <w:tabs>
          <w:tab w:leader="none" w:pos="20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150" w:lineRule="exact"/>
        <w:rPr>
          <w:rFonts w:ascii="MS PGothic" w:cs="MS PGothic" w:eastAsia="MS PGothic" w:hAnsi="MS PGothic"/>
          <w:sz w:val="12"/>
          <w:szCs w:val="12"/>
          <w:color w:val="auto"/>
        </w:rPr>
      </w:pPr>
    </w:p>
    <w:p>
      <w:pPr>
        <w:ind w:left="208" w:hanging="208"/>
        <w:spacing w:after="0"/>
        <w:tabs>
          <w:tab w:leader="none" w:pos="20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150" w:lineRule="exact"/>
        <w:rPr>
          <w:rFonts w:ascii="MS PGothic" w:cs="MS PGothic" w:eastAsia="MS PGothic" w:hAnsi="MS PGothic"/>
          <w:sz w:val="12"/>
          <w:szCs w:val="12"/>
          <w:color w:val="auto"/>
        </w:rPr>
      </w:pPr>
    </w:p>
    <w:p>
      <w:pPr>
        <w:ind w:left="208" w:hanging="208"/>
        <w:spacing w:after="0"/>
        <w:tabs>
          <w:tab w:leader="none" w:pos="20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146" w:lineRule="exact"/>
        <w:rPr>
          <w:sz w:val="24"/>
          <w:szCs w:val="24"/>
          <w:color w:val="auto"/>
        </w:rPr>
      </w:pPr>
    </w:p>
    <w:tbl>
      <w:tblPr>
        <w:tblLayout w:type="fixed"/>
        <w:tblInd w:w="8" w:type="dxa"/>
        <w:tblCellMar>
          <w:top w:w="0" w:type="dxa"/>
          <w:left w:w="0" w:type="dxa"/>
          <w:bottom w:w="0" w:type="dxa"/>
          <w:right w:w="0" w:type="dxa"/>
        </w:tblCellMar>
      </w:tblPr>
      <w:tr>
        <w:trPr>
          <w:trHeight w:val="159"/>
        </w:trPr>
        <w:tc>
          <w:tcPr>
            <w:tcW w:w="41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Securities registered pursuant to Section 12(b) of the Act:</w:t>
            </w:r>
          </w:p>
        </w:tc>
        <w:tc>
          <w:tcPr>
            <w:tcW w:w="18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40" w:type="dxa"/>
            <w:vAlign w:val="bottom"/>
            <w:gridSpan w:val="2"/>
            <w:vMerge w:val="restart"/>
          </w:tcPr>
          <w:p>
            <w:pPr>
              <w:jc w:val="center"/>
              <w:ind w:right="540"/>
              <w:spacing w:after="0"/>
              <w:rPr>
                <w:sz w:val="20"/>
                <w:szCs w:val="20"/>
                <w:color w:val="auto"/>
              </w:rPr>
            </w:pPr>
            <w:r>
              <w:rPr>
                <w:rFonts w:ascii="Times New Roman" w:cs="Times New Roman" w:eastAsia="Times New Roman" w:hAnsi="Times New Roman"/>
                <w:sz w:val="12"/>
                <w:szCs w:val="12"/>
                <w:b w:val="1"/>
                <w:bCs w:val="1"/>
                <w:color w:val="auto"/>
                <w:w w:val="95"/>
              </w:rPr>
              <w:t>Trading</w:t>
            </w:r>
          </w:p>
        </w:tc>
        <w:tc>
          <w:tcPr>
            <w:tcW w:w="1840" w:type="dxa"/>
            <w:vAlign w:val="bottom"/>
            <w:gridSpan w:val="4"/>
            <w:vMerge w:val="restart"/>
          </w:tcPr>
          <w:p>
            <w:pPr>
              <w:jc w:val="center"/>
              <w:ind w:left="440"/>
              <w:spacing w:after="0"/>
              <w:rPr>
                <w:sz w:val="20"/>
                <w:szCs w:val="20"/>
                <w:color w:val="auto"/>
              </w:rPr>
            </w:pPr>
            <w:r>
              <w:rPr>
                <w:rFonts w:ascii="Times New Roman" w:cs="Times New Roman" w:eastAsia="Times New Roman" w:hAnsi="Times New Roman"/>
                <w:sz w:val="12"/>
                <w:szCs w:val="12"/>
                <w:b w:val="1"/>
                <w:bCs w:val="1"/>
                <w:color w:val="auto"/>
                <w:w w:val="98"/>
              </w:rPr>
              <w:t>Name of each exchange on</w:t>
            </w:r>
          </w:p>
        </w:tc>
        <w:tc>
          <w:tcPr>
            <w:tcW w:w="0" w:type="dxa"/>
            <w:vAlign w:val="bottom"/>
          </w:tcPr>
          <w:p>
            <w:pPr>
              <w:spacing w:after="0"/>
              <w:rPr>
                <w:sz w:val="1"/>
                <w:szCs w:val="1"/>
                <w:color w:val="auto"/>
              </w:rPr>
            </w:pPr>
          </w:p>
        </w:tc>
      </w:tr>
      <w:tr>
        <w:trPr>
          <w:trHeight w:val="117"/>
        </w:trPr>
        <w:tc>
          <w:tcPr>
            <w:tcW w:w="54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w w:val="96"/>
              </w:rPr>
              <w:t>Registrant</w:t>
            </w:r>
          </w:p>
        </w:tc>
        <w:tc>
          <w:tcPr>
            <w:tcW w:w="3620" w:type="dxa"/>
            <w:vAlign w:val="bottom"/>
            <w:vMerge w:val="restart"/>
          </w:tcPr>
          <w:p>
            <w:pPr>
              <w:spacing w:after="0"/>
              <w:rPr>
                <w:sz w:val="10"/>
                <w:szCs w:val="10"/>
                <w:color w:val="auto"/>
              </w:rPr>
            </w:pPr>
          </w:p>
        </w:tc>
        <w:tc>
          <w:tcPr>
            <w:tcW w:w="1820" w:type="dxa"/>
            <w:vAlign w:val="bottom"/>
          </w:tcPr>
          <w:p>
            <w:pPr>
              <w:spacing w:after="0"/>
              <w:rPr>
                <w:sz w:val="10"/>
                <w:szCs w:val="10"/>
                <w:color w:val="auto"/>
              </w:rPr>
            </w:pPr>
          </w:p>
        </w:tc>
        <w:tc>
          <w:tcPr>
            <w:tcW w:w="1840" w:type="dxa"/>
            <w:vAlign w:val="bottom"/>
            <w:gridSpan w:val="2"/>
            <w:vMerge w:val="restart"/>
          </w:tcPr>
          <w:p>
            <w:pPr>
              <w:jc w:val="center"/>
              <w:ind w:right="940"/>
              <w:spacing w:after="0"/>
              <w:rPr>
                <w:sz w:val="20"/>
                <w:szCs w:val="20"/>
                <w:color w:val="auto"/>
              </w:rPr>
            </w:pPr>
            <w:r>
              <w:rPr>
                <w:rFonts w:ascii="Times New Roman" w:cs="Times New Roman" w:eastAsia="Times New Roman" w:hAnsi="Times New Roman"/>
                <w:sz w:val="12"/>
                <w:szCs w:val="12"/>
                <w:b w:val="1"/>
                <w:bCs w:val="1"/>
                <w:color w:val="auto"/>
                <w:w w:val="99"/>
              </w:rPr>
              <w:t>Title of each class</w:t>
            </w:r>
          </w:p>
        </w:tc>
        <w:tc>
          <w:tcPr>
            <w:tcW w:w="940" w:type="dxa"/>
            <w:vAlign w:val="bottom"/>
            <w:gridSpan w:val="2"/>
            <w:vMerge w:val="continue"/>
          </w:tcPr>
          <w:p>
            <w:pPr>
              <w:spacing w:after="0"/>
              <w:rPr>
                <w:sz w:val="10"/>
                <w:szCs w:val="10"/>
                <w:color w:val="auto"/>
              </w:rPr>
            </w:pPr>
          </w:p>
        </w:tc>
        <w:tc>
          <w:tcPr>
            <w:tcW w:w="184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540" w:type="dxa"/>
            <w:vAlign w:val="bottom"/>
            <w:vMerge w:val="continue"/>
          </w:tcPr>
          <w:p>
            <w:pPr>
              <w:spacing w:after="0" w:line="20" w:lineRule="exact"/>
              <w:rPr>
                <w:sz w:val="1"/>
                <w:szCs w:val="1"/>
                <w:color w:val="auto"/>
              </w:rPr>
            </w:pPr>
          </w:p>
        </w:tc>
        <w:tc>
          <w:tcPr>
            <w:tcW w:w="3620" w:type="dxa"/>
            <w:vAlign w:val="bottom"/>
            <w:vMerge w:val="continue"/>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40" w:type="dxa"/>
            <w:vAlign w:val="bottom"/>
            <w:gridSpan w:val="2"/>
            <w:vMerge w:val="continue"/>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540" w:type="dxa"/>
            <w:vAlign w:val="bottom"/>
            <w:vMerge w:val="continue"/>
          </w:tcPr>
          <w:p>
            <w:pPr>
              <w:spacing w:after="0"/>
              <w:rPr>
                <w:sz w:val="10"/>
                <w:szCs w:val="10"/>
                <w:color w:val="auto"/>
              </w:rPr>
            </w:pPr>
          </w:p>
        </w:tc>
        <w:tc>
          <w:tcPr>
            <w:tcW w:w="3620" w:type="dxa"/>
            <w:vAlign w:val="bottom"/>
            <w:vMerge w:val="continue"/>
          </w:tcPr>
          <w:p>
            <w:pPr>
              <w:spacing w:after="0"/>
              <w:rPr>
                <w:sz w:val="10"/>
                <w:szCs w:val="10"/>
                <w:color w:val="auto"/>
              </w:rPr>
            </w:pPr>
          </w:p>
        </w:tc>
        <w:tc>
          <w:tcPr>
            <w:tcW w:w="1820" w:type="dxa"/>
            <w:vAlign w:val="bottom"/>
          </w:tcPr>
          <w:p>
            <w:pPr>
              <w:spacing w:after="0"/>
              <w:rPr>
                <w:sz w:val="10"/>
                <w:szCs w:val="10"/>
                <w:color w:val="auto"/>
              </w:rPr>
            </w:pPr>
          </w:p>
        </w:tc>
        <w:tc>
          <w:tcPr>
            <w:tcW w:w="1840" w:type="dxa"/>
            <w:vAlign w:val="bottom"/>
            <w:gridSpan w:val="2"/>
            <w:vMerge w:val="continue"/>
          </w:tcPr>
          <w:p>
            <w:pPr>
              <w:spacing w:after="0"/>
              <w:rPr>
                <w:sz w:val="10"/>
                <w:szCs w:val="10"/>
                <w:color w:val="auto"/>
              </w:rPr>
            </w:pPr>
          </w:p>
        </w:tc>
        <w:tc>
          <w:tcPr>
            <w:tcW w:w="940" w:type="dxa"/>
            <w:vAlign w:val="bottom"/>
            <w:gridSpan w:val="2"/>
          </w:tcPr>
          <w:p>
            <w:pPr>
              <w:jc w:val="center"/>
              <w:ind w:right="480"/>
              <w:spacing w:after="0" w:line="124" w:lineRule="exact"/>
              <w:rPr>
                <w:sz w:val="20"/>
                <w:szCs w:val="20"/>
                <w:color w:val="auto"/>
              </w:rPr>
            </w:pPr>
            <w:r>
              <w:rPr>
                <w:rFonts w:ascii="Times New Roman" w:cs="Times New Roman" w:eastAsia="Times New Roman" w:hAnsi="Times New Roman"/>
                <w:sz w:val="12"/>
                <w:szCs w:val="12"/>
                <w:b w:val="1"/>
                <w:bCs w:val="1"/>
                <w:color w:val="auto"/>
                <w:w w:val="89"/>
              </w:rPr>
              <w:t>Symbol(s)</w:t>
            </w: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00" w:type="dxa"/>
            <w:vAlign w:val="bottom"/>
            <w:gridSpan w:val="2"/>
          </w:tcPr>
          <w:p>
            <w:pPr>
              <w:jc w:val="center"/>
              <w:ind w:right="220"/>
              <w:spacing w:after="0" w:line="124" w:lineRule="exact"/>
              <w:rPr>
                <w:sz w:val="20"/>
                <w:szCs w:val="20"/>
                <w:color w:val="auto"/>
              </w:rPr>
            </w:pPr>
            <w:r>
              <w:rPr>
                <w:rFonts w:ascii="Times New Roman" w:cs="Times New Roman" w:eastAsia="Times New Roman" w:hAnsi="Times New Roman"/>
                <w:sz w:val="12"/>
                <w:szCs w:val="12"/>
                <w:b w:val="1"/>
                <w:bCs w:val="1"/>
                <w:color w:val="auto"/>
                <w:w w:val="98"/>
              </w:rPr>
              <w:t>which registered</w:t>
            </w:r>
          </w:p>
        </w:tc>
        <w:tc>
          <w:tcPr>
            <w:tcW w:w="0" w:type="dxa"/>
            <w:vAlign w:val="bottom"/>
          </w:tcPr>
          <w:p>
            <w:pPr>
              <w:spacing w:after="0"/>
              <w:rPr>
                <w:sz w:val="1"/>
                <w:szCs w:val="1"/>
                <w:color w:val="auto"/>
              </w:rPr>
            </w:pPr>
          </w:p>
        </w:tc>
      </w:tr>
      <w:tr>
        <w:trPr>
          <w:trHeight w:val="20"/>
        </w:trPr>
        <w:tc>
          <w:tcPr>
            <w:tcW w:w="540" w:type="dxa"/>
            <w:vAlign w:val="bottom"/>
            <w:shd w:val="clear" w:color="auto" w:fill="000000"/>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94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40" w:type="dxa"/>
            <w:vAlign w:val="bottom"/>
            <w:tcBorders>
              <w:left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41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Eversource Energy</w:t>
            </w:r>
          </w:p>
        </w:tc>
        <w:tc>
          <w:tcPr>
            <w:tcW w:w="3660" w:type="dxa"/>
            <w:vAlign w:val="bottom"/>
            <w:gridSpan w:val="3"/>
          </w:tcPr>
          <w:p>
            <w:pPr>
              <w:jc w:val="center"/>
              <w:ind w:left="820"/>
              <w:spacing w:after="0"/>
              <w:rPr>
                <w:sz w:val="20"/>
                <w:szCs w:val="20"/>
                <w:color w:val="auto"/>
              </w:rPr>
            </w:pPr>
            <w:r>
              <w:rPr>
                <w:rFonts w:ascii="Times New Roman" w:cs="Times New Roman" w:eastAsia="Times New Roman" w:hAnsi="Times New Roman"/>
                <w:sz w:val="12"/>
                <w:szCs w:val="12"/>
                <w:color w:val="auto"/>
                <w:w w:val="99"/>
              </w:rPr>
              <w:t>Common Shares, $5.00 par value per share</w:t>
            </w:r>
          </w:p>
        </w:tc>
        <w:tc>
          <w:tcPr>
            <w:tcW w:w="940" w:type="dxa"/>
            <w:vAlign w:val="bottom"/>
            <w:gridSpan w:val="2"/>
          </w:tcPr>
          <w:p>
            <w:pPr>
              <w:jc w:val="center"/>
              <w:ind w:right="520"/>
              <w:spacing w:after="0"/>
              <w:rPr>
                <w:sz w:val="20"/>
                <w:szCs w:val="20"/>
                <w:color w:val="auto"/>
              </w:rPr>
            </w:pPr>
            <w:r>
              <w:rPr>
                <w:rFonts w:ascii="Times New Roman" w:cs="Times New Roman" w:eastAsia="Times New Roman" w:hAnsi="Times New Roman"/>
                <w:sz w:val="12"/>
                <w:szCs w:val="12"/>
                <w:color w:val="auto"/>
                <w:w w:val="99"/>
              </w:rPr>
              <w:t>ES</w:t>
            </w:r>
          </w:p>
        </w:tc>
        <w:tc>
          <w:tcPr>
            <w:tcW w:w="500" w:type="dxa"/>
            <w:vAlign w:val="bottom"/>
          </w:tcPr>
          <w:p>
            <w:pPr>
              <w:spacing w:after="0"/>
              <w:rPr>
                <w:sz w:val="12"/>
                <w:szCs w:val="12"/>
                <w:color w:val="auto"/>
              </w:rPr>
            </w:pPr>
          </w:p>
        </w:tc>
        <w:tc>
          <w:tcPr>
            <w:tcW w:w="1340" w:type="dxa"/>
            <w:vAlign w:val="bottom"/>
            <w:gridSpan w:val="3"/>
          </w:tcPr>
          <w:p>
            <w:pPr>
              <w:jc w:val="center"/>
              <w:spacing w:after="0"/>
              <w:rPr>
                <w:sz w:val="20"/>
                <w:szCs w:val="20"/>
                <w:color w:val="auto"/>
              </w:rPr>
            </w:pPr>
            <w:r>
              <w:rPr>
                <w:rFonts w:ascii="Times New Roman" w:cs="Times New Roman" w:eastAsia="Times New Roman" w:hAnsi="Times New Roman"/>
                <w:sz w:val="12"/>
                <w:szCs w:val="12"/>
                <w:color w:val="auto"/>
                <w:w w:val="99"/>
              </w:rPr>
              <w:t>New York Stock Exchange</w:t>
            </w:r>
          </w:p>
        </w:tc>
        <w:tc>
          <w:tcPr>
            <w:tcW w:w="0" w:type="dxa"/>
            <w:vAlign w:val="bottom"/>
          </w:tcPr>
          <w:p>
            <w:pPr>
              <w:spacing w:after="0"/>
              <w:rPr>
                <w:sz w:val="1"/>
                <w:szCs w:val="1"/>
                <w:color w:val="auto"/>
              </w:rPr>
            </w:pPr>
          </w:p>
        </w:tc>
      </w:tr>
      <w:tr>
        <w:trPr>
          <w:trHeight w:val="144"/>
        </w:trPr>
        <w:tc>
          <w:tcPr>
            <w:tcW w:w="41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The Connecticut Light and Power Company</w:t>
            </w:r>
          </w:p>
        </w:tc>
        <w:tc>
          <w:tcPr>
            <w:tcW w:w="1820" w:type="dxa"/>
            <w:vAlign w:val="bottom"/>
          </w:tcPr>
          <w:p>
            <w:pPr>
              <w:spacing w:after="0"/>
              <w:rPr>
                <w:sz w:val="12"/>
                <w:szCs w:val="12"/>
                <w:color w:val="auto"/>
              </w:rPr>
            </w:pPr>
          </w:p>
        </w:tc>
        <w:tc>
          <w:tcPr>
            <w:tcW w:w="1840" w:type="dxa"/>
            <w:vAlign w:val="bottom"/>
            <w:gridSpan w:val="2"/>
          </w:tcPr>
          <w:p>
            <w:pPr>
              <w:jc w:val="center"/>
              <w:ind w:right="940"/>
              <w:spacing w:after="0"/>
              <w:rPr>
                <w:sz w:val="20"/>
                <w:szCs w:val="20"/>
                <w:color w:val="auto"/>
              </w:rPr>
            </w:pPr>
            <w:r>
              <w:rPr>
                <w:rFonts w:ascii="Times New Roman" w:cs="Times New Roman" w:eastAsia="Times New Roman" w:hAnsi="Times New Roman"/>
                <w:sz w:val="12"/>
                <w:szCs w:val="12"/>
                <w:color w:val="auto"/>
                <w:w w:val="99"/>
              </w:rPr>
              <w:t>None</w:t>
            </w:r>
          </w:p>
        </w:tc>
        <w:tc>
          <w:tcPr>
            <w:tcW w:w="940" w:type="dxa"/>
            <w:vAlign w:val="bottom"/>
            <w:gridSpan w:val="2"/>
          </w:tcPr>
          <w:p>
            <w:pPr>
              <w:jc w:val="center"/>
              <w:ind w:right="540"/>
              <w:spacing w:after="0"/>
              <w:rPr>
                <w:sz w:val="20"/>
                <w:szCs w:val="20"/>
                <w:color w:val="auto"/>
              </w:rPr>
            </w:pPr>
            <w:r>
              <w:rPr>
                <w:rFonts w:ascii="Times New Roman" w:cs="Times New Roman" w:eastAsia="Times New Roman" w:hAnsi="Times New Roman"/>
                <w:sz w:val="12"/>
                <w:szCs w:val="12"/>
                <w:color w:val="auto"/>
                <w:w w:val="96"/>
              </w:rPr>
              <w:t>N/A</w:t>
            </w: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color w:val="auto"/>
              </w:rPr>
              <w:t>N/A</w:t>
            </w:r>
          </w:p>
        </w:tc>
        <w:tc>
          <w:tcPr>
            <w:tcW w:w="0" w:type="dxa"/>
            <w:vAlign w:val="bottom"/>
          </w:tcPr>
          <w:p>
            <w:pPr>
              <w:spacing w:after="0"/>
              <w:rPr>
                <w:sz w:val="1"/>
                <w:szCs w:val="1"/>
                <w:color w:val="auto"/>
              </w:rPr>
            </w:pPr>
          </w:p>
        </w:tc>
      </w:tr>
      <w:tr>
        <w:trPr>
          <w:trHeight w:val="144"/>
        </w:trPr>
        <w:tc>
          <w:tcPr>
            <w:tcW w:w="41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NSTAR Electric Company</w:t>
            </w:r>
          </w:p>
        </w:tc>
        <w:tc>
          <w:tcPr>
            <w:tcW w:w="1820" w:type="dxa"/>
            <w:vAlign w:val="bottom"/>
          </w:tcPr>
          <w:p>
            <w:pPr>
              <w:spacing w:after="0"/>
              <w:rPr>
                <w:sz w:val="12"/>
                <w:szCs w:val="12"/>
                <w:color w:val="auto"/>
              </w:rPr>
            </w:pPr>
          </w:p>
        </w:tc>
        <w:tc>
          <w:tcPr>
            <w:tcW w:w="1840" w:type="dxa"/>
            <w:vAlign w:val="bottom"/>
            <w:gridSpan w:val="2"/>
          </w:tcPr>
          <w:p>
            <w:pPr>
              <w:jc w:val="center"/>
              <w:ind w:right="940"/>
              <w:spacing w:after="0"/>
              <w:rPr>
                <w:sz w:val="20"/>
                <w:szCs w:val="20"/>
                <w:color w:val="auto"/>
              </w:rPr>
            </w:pPr>
            <w:r>
              <w:rPr>
                <w:rFonts w:ascii="Times New Roman" w:cs="Times New Roman" w:eastAsia="Times New Roman" w:hAnsi="Times New Roman"/>
                <w:sz w:val="12"/>
                <w:szCs w:val="12"/>
                <w:color w:val="auto"/>
                <w:w w:val="99"/>
              </w:rPr>
              <w:t>None</w:t>
            </w:r>
          </w:p>
        </w:tc>
        <w:tc>
          <w:tcPr>
            <w:tcW w:w="940" w:type="dxa"/>
            <w:vAlign w:val="bottom"/>
            <w:gridSpan w:val="2"/>
          </w:tcPr>
          <w:p>
            <w:pPr>
              <w:jc w:val="center"/>
              <w:ind w:right="540"/>
              <w:spacing w:after="0"/>
              <w:rPr>
                <w:sz w:val="20"/>
                <w:szCs w:val="20"/>
                <w:color w:val="auto"/>
              </w:rPr>
            </w:pPr>
            <w:r>
              <w:rPr>
                <w:rFonts w:ascii="Times New Roman" w:cs="Times New Roman" w:eastAsia="Times New Roman" w:hAnsi="Times New Roman"/>
                <w:sz w:val="12"/>
                <w:szCs w:val="12"/>
                <w:color w:val="auto"/>
                <w:w w:val="96"/>
              </w:rPr>
              <w:t>N/A</w:t>
            </w: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color w:val="auto"/>
              </w:rPr>
              <w:t>N/A</w:t>
            </w:r>
          </w:p>
        </w:tc>
        <w:tc>
          <w:tcPr>
            <w:tcW w:w="0" w:type="dxa"/>
            <w:vAlign w:val="bottom"/>
          </w:tcPr>
          <w:p>
            <w:pPr>
              <w:spacing w:after="0"/>
              <w:rPr>
                <w:sz w:val="1"/>
                <w:szCs w:val="1"/>
                <w:color w:val="auto"/>
              </w:rPr>
            </w:pPr>
          </w:p>
        </w:tc>
      </w:tr>
      <w:tr>
        <w:trPr>
          <w:trHeight w:val="155"/>
        </w:trPr>
        <w:tc>
          <w:tcPr>
            <w:tcW w:w="41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Public Service Company of New Hampshire</w:t>
            </w:r>
          </w:p>
        </w:tc>
        <w:tc>
          <w:tcPr>
            <w:tcW w:w="1820" w:type="dxa"/>
            <w:vAlign w:val="bottom"/>
          </w:tcPr>
          <w:p>
            <w:pPr>
              <w:spacing w:after="0"/>
              <w:rPr>
                <w:sz w:val="13"/>
                <w:szCs w:val="13"/>
                <w:color w:val="auto"/>
              </w:rPr>
            </w:pPr>
          </w:p>
        </w:tc>
        <w:tc>
          <w:tcPr>
            <w:tcW w:w="1840" w:type="dxa"/>
            <w:vAlign w:val="bottom"/>
            <w:gridSpan w:val="2"/>
          </w:tcPr>
          <w:p>
            <w:pPr>
              <w:jc w:val="center"/>
              <w:ind w:right="940"/>
              <w:spacing w:after="0"/>
              <w:rPr>
                <w:sz w:val="20"/>
                <w:szCs w:val="20"/>
                <w:color w:val="auto"/>
              </w:rPr>
            </w:pPr>
            <w:r>
              <w:rPr>
                <w:rFonts w:ascii="Times New Roman" w:cs="Times New Roman" w:eastAsia="Times New Roman" w:hAnsi="Times New Roman"/>
                <w:sz w:val="12"/>
                <w:szCs w:val="12"/>
                <w:color w:val="auto"/>
                <w:w w:val="99"/>
              </w:rPr>
              <w:t>None</w:t>
            </w:r>
          </w:p>
        </w:tc>
        <w:tc>
          <w:tcPr>
            <w:tcW w:w="940" w:type="dxa"/>
            <w:vAlign w:val="bottom"/>
            <w:gridSpan w:val="2"/>
          </w:tcPr>
          <w:p>
            <w:pPr>
              <w:jc w:val="center"/>
              <w:ind w:right="540"/>
              <w:spacing w:after="0"/>
              <w:rPr>
                <w:sz w:val="20"/>
                <w:szCs w:val="20"/>
                <w:color w:val="auto"/>
              </w:rPr>
            </w:pPr>
            <w:r>
              <w:rPr>
                <w:rFonts w:ascii="Times New Roman" w:cs="Times New Roman" w:eastAsia="Times New Roman" w:hAnsi="Times New Roman"/>
                <w:sz w:val="12"/>
                <w:szCs w:val="12"/>
                <w:color w:val="auto"/>
                <w:w w:val="96"/>
              </w:rPr>
              <w:t>N/A</w:t>
            </w: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color w:val="auto"/>
              </w:rPr>
              <w:t>N/A</w:t>
            </w:r>
          </w:p>
        </w:tc>
        <w:tc>
          <w:tcPr>
            <w:tcW w:w="0" w:type="dxa"/>
            <w:vAlign w:val="bottom"/>
          </w:tcPr>
          <w:p>
            <w:pPr>
              <w:spacing w:after="0"/>
              <w:rPr>
                <w:sz w:val="1"/>
                <w:szCs w:val="1"/>
                <w:color w:val="auto"/>
              </w:rPr>
            </w:pPr>
          </w:p>
        </w:tc>
      </w:tr>
    </w:tbl>
    <w:p>
      <w:pPr>
        <w:spacing w:after="0" w:line="133" w:lineRule="exact"/>
        <w:rPr>
          <w:sz w:val="24"/>
          <w:szCs w:val="24"/>
          <w:color w:val="auto"/>
        </w:rPr>
      </w:pPr>
    </w:p>
    <w:p>
      <w:pPr>
        <w:ind w:left="8"/>
        <w:spacing w:after="0"/>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(17 CFR §230.405) or Rule 12b-2 of the Securities Exchange Act of 1934 (17 CFR §240.12b-2).</w:t>
      </w:r>
    </w:p>
    <w:p>
      <w:pPr>
        <w:spacing w:after="0" w:line="146" w:lineRule="exact"/>
        <w:rPr>
          <w:sz w:val="24"/>
          <w:szCs w:val="24"/>
          <w:color w:val="auto"/>
        </w:rPr>
      </w:pPr>
    </w:p>
    <w:tbl>
      <w:tblPr>
        <w:tblLayout w:type="fixed"/>
        <w:tblInd w:w="8" w:type="dxa"/>
        <w:tblCellMar>
          <w:top w:w="0" w:type="dxa"/>
          <w:left w:w="0" w:type="dxa"/>
          <w:bottom w:w="0" w:type="dxa"/>
          <w:right w:w="0" w:type="dxa"/>
        </w:tblCellMar>
      </w:tblPr>
      <w:tr>
        <w:trPr>
          <w:trHeight w:val="144"/>
        </w:trPr>
        <w:tc>
          <w:tcPr>
            <w:tcW w:w="4980" w:type="dxa"/>
            <w:vAlign w:val="bottom"/>
          </w:tcPr>
          <w:p>
            <w:pPr>
              <w:spacing w:after="0"/>
              <w:rPr>
                <w:sz w:val="12"/>
                <w:szCs w:val="12"/>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Emerging growth</w:t>
            </w:r>
          </w:p>
        </w:tc>
        <w:tc>
          <w:tcPr>
            <w:tcW w:w="0" w:type="dxa"/>
            <w:vAlign w:val="bottom"/>
          </w:tcPr>
          <w:p>
            <w:pPr>
              <w:spacing w:after="0"/>
              <w:rPr>
                <w:sz w:val="1"/>
                <w:szCs w:val="1"/>
                <w:color w:val="auto"/>
              </w:rPr>
            </w:pPr>
          </w:p>
        </w:tc>
      </w:tr>
      <w:tr>
        <w:trPr>
          <w:trHeight w:val="159"/>
        </w:trPr>
        <w:tc>
          <w:tcPr>
            <w:tcW w:w="498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Eversource Energy</w:t>
            </w:r>
          </w:p>
        </w:tc>
        <w:tc>
          <w:tcPr>
            <w:tcW w:w="2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company</w:t>
            </w:r>
          </w:p>
        </w:tc>
        <w:tc>
          <w:tcPr>
            <w:tcW w:w="0" w:type="dxa"/>
            <w:vAlign w:val="bottom"/>
          </w:tcPr>
          <w:p>
            <w:pPr>
              <w:spacing w:after="0"/>
              <w:rPr>
                <w:sz w:val="1"/>
                <w:szCs w:val="1"/>
                <w:color w:val="auto"/>
              </w:rPr>
            </w:pPr>
          </w:p>
        </w:tc>
      </w:tr>
      <w:tr>
        <w:trPr>
          <w:trHeight w:val="97"/>
        </w:trPr>
        <w:tc>
          <w:tcPr>
            <w:tcW w:w="4980" w:type="dxa"/>
            <w:vAlign w:val="bottom"/>
            <w:vMerge w:val="continue"/>
          </w:tcPr>
          <w:p>
            <w:pPr>
              <w:spacing w:after="0"/>
              <w:rPr>
                <w:sz w:val="8"/>
                <w:szCs w:val="8"/>
                <w:color w:val="auto"/>
              </w:rPr>
            </w:pPr>
          </w:p>
        </w:tc>
        <w:tc>
          <w:tcPr>
            <w:tcW w:w="2360" w:type="dxa"/>
            <w:vAlign w:val="bottom"/>
          </w:tcPr>
          <w:p>
            <w:pPr>
              <w:jc w:val="center"/>
              <w:spacing w:after="0" w:line="98" w:lineRule="exact"/>
              <w:rPr>
                <w:sz w:val="20"/>
                <w:szCs w:val="20"/>
                <w:color w:val="auto"/>
              </w:rPr>
            </w:pPr>
            <w:r>
              <w:rPr>
                <w:rFonts w:ascii="MS PGothic" w:cs="MS PGothic" w:eastAsia="MS PGothic" w:hAnsi="MS PGothic"/>
                <w:sz w:val="12"/>
                <w:szCs w:val="12"/>
                <w:color w:val="auto"/>
                <w:w w:val="99"/>
              </w:rPr>
              <w:t>☐</w:t>
            </w:r>
          </w:p>
        </w:tc>
        <w:tc>
          <w:tcPr>
            <w:tcW w:w="0" w:type="dxa"/>
            <w:vAlign w:val="bottom"/>
          </w:tcPr>
          <w:p>
            <w:pPr>
              <w:spacing w:after="0"/>
              <w:rPr>
                <w:sz w:val="1"/>
                <w:szCs w:val="1"/>
                <w:color w:val="auto"/>
              </w:rPr>
            </w:pPr>
          </w:p>
        </w:tc>
      </w:tr>
      <w:tr>
        <w:trPr>
          <w:trHeight w:val="135"/>
        </w:trPr>
        <w:tc>
          <w:tcPr>
            <w:tcW w:w="498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The Connecticut Light and Power Company</w:t>
            </w:r>
          </w:p>
        </w:tc>
        <w:tc>
          <w:tcPr>
            <w:tcW w:w="2360" w:type="dxa"/>
            <w:vAlign w:val="bottom"/>
          </w:tcPr>
          <w:p>
            <w:pPr>
              <w:jc w:val="center"/>
              <w:spacing w:after="0" w:line="121" w:lineRule="exact"/>
              <w:rPr>
                <w:sz w:val="20"/>
                <w:szCs w:val="20"/>
                <w:color w:val="auto"/>
              </w:rPr>
            </w:pPr>
            <w:r>
              <w:rPr>
                <w:rFonts w:ascii="MS PGothic" w:cs="MS PGothic" w:eastAsia="MS PGothic" w:hAnsi="MS PGothic"/>
                <w:sz w:val="12"/>
                <w:szCs w:val="12"/>
                <w:color w:val="auto"/>
                <w:w w:val="99"/>
              </w:rPr>
              <w:t>☐</w:t>
            </w:r>
          </w:p>
        </w:tc>
        <w:tc>
          <w:tcPr>
            <w:tcW w:w="0" w:type="dxa"/>
            <w:vAlign w:val="bottom"/>
          </w:tcPr>
          <w:p>
            <w:pPr>
              <w:spacing w:after="0"/>
              <w:rPr>
                <w:sz w:val="1"/>
                <w:szCs w:val="1"/>
                <w:color w:val="auto"/>
              </w:rPr>
            </w:pPr>
          </w:p>
        </w:tc>
      </w:tr>
      <w:tr>
        <w:trPr>
          <w:trHeight w:val="144"/>
        </w:trPr>
        <w:tc>
          <w:tcPr>
            <w:tcW w:w="4980" w:type="dxa"/>
            <w:vAlign w:val="bottom"/>
          </w:tcPr>
          <w:p>
            <w:pPr>
              <w:spacing w:after="0"/>
              <w:rPr>
                <w:sz w:val="20"/>
                <w:szCs w:val="20"/>
                <w:color w:val="auto"/>
              </w:rPr>
            </w:pPr>
            <w:r>
              <w:rPr>
                <w:rFonts w:ascii="Times New Roman" w:cs="Times New Roman" w:eastAsia="Times New Roman" w:hAnsi="Times New Roman"/>
                <w:sz w:val="12"/>
                <w:szCs w:val="12"/>
                <w:color w:val="auto"/>
              </w:rPr>
              <w:t>NSTAR Electric Company</w:t>
            </w:r>
          </w:p>
        </w:tc>
        <w:tc>
          <w:tcPr>
            <w:tcW w:w="2360" w:type="dxa"/>
            <w:vAlign w:val="bottom"/>
          </w:tcPr>
          <w:p>
            <w:pPr>
              <w:jc w:val="center"/>
              <w:spacing w:after="0" w:line="121" w:lineRule="exact"/>
              <w:rPr>
                <w:sz w:val="20"/>
                <w:szCs w:val="20"/>
                <w:color w:val="auto"/>
              </w:rPr>
            </w:pPr>
            <w:r>
              <w:rPr>
                <w:rFonts w:ascii="MS PGothic" w:cs="MS PGothic" w:eastAsia="MS PGothic" w:hAnsi="MS PGothic"/>
                <w:sz w:val="12"/>
                <w:szCs w:val="12"/>
                <w:color w:val="auto"/>
                <w:w w:val="99"/>
              </w:rPr>
              <w:t>☐</w:t>
            </w:r>
          </w:p>
        </w:tc>
        <w:tc>
          <w:tcPr>
            <w:tcW w:w="0" w:type="dxa"/>
            <w:vAlign w:val="bottom"/>
          </w:tcPr>
          <w:p>
            <w:pPr>
              <w:spacing w:after="0"/>
              <w:rPr>
                <w:sz w:val="1"/>
                <w:szCs w:val="1"/>
                <w:color w:val="auto"/>
              </w:rPr>
            </w:pPr>
          </w:p>
        </w:tc>
      </w:tr>
      <w:tr>
        <w:trPr>
          <w:trHeight w:val="201"/>
        </w:trPr>
        <w:tc>
          <w:tcPr>
            <w:tcW w:w="4980" w:type="dxa"/>
            <w:vAlign w:val="bottom"/>
          </w:tcPr>
          <w:p>
            <w:pPr>
              <w:spacing w:after="0"/>
              <w:rPr>
                <w:sz w:val="20"/>
                <w:szCs w:val="20"/>
                <w:color w:val="auto"/>
              </w:rPr>
            </w:pPr>
            <w:r>
              <w:rPr>
                <w:rFonts w:ascii="Times New Roman" w:cs="Times New Roman" w:eastAsia="Times New Roman" w:hAnsi="Times New Roman"/>
                <w:sz w:val="12"/>
                <w:szCs w:val="12"/>
                <w:color w:val="auto"/>
              </w:rPr>
              <w:t>Public Service Company of New Hampshire</w:t>
            </w:r>
          </w:p>
        </w:tc>
        <w:tc>
          <w:tcPr>
            <w:tcW w:w="2360" w:type="dxa"/>
            <w:vAlign w:val="bottom"/>
          </w:tcPr>
          <w:p>
            <w:pPr>
              <w:jc w:val="center"/>
              <w:spacing w:after="0" w:line="121" w:lineRule="exact"/>
              <w:rPr>
                <w:sz w:val="20"/>
                <w:szCs w:val="20"/>
                <w:color w:val="auto"/>
              </w:rPr>
            </w:pPr>
            <w:r>
              <w:rPr>
                <w:rFonts w:ascii="MS PGothic" w:cs="MS PGothic" w:eastAsia="MS PGothic" w:hAnsi="MS PGothic"/>
                <w:sz w:val="12"/>
                <w:szCs w:val="12"/>
                <w:color w:val="auto"/>
                <w:w w:val="99"/>
              </w:rPr>
              <w:t>☐</w:t>
            </w:r>
          </w:p>
        </w:tc>
        <w:tc>
          <w:tcPr>
            <w:tcW w:w="0" w:type="dxa"/>
            <w:vAlign w:val="bottom"/>
          </w:tcPr>
          <w:p>
            <w:pPr>
              <w:spacing w:after="0"/>
              <w:rPr>
                <w:sz w:val="1"/>
                <w:szCs w:val="1"/>
                <w:color w:val="auto"/>
              </w:rPr>
            </w:pPr>
          </w:p>
        </w:tc>
      </w:tr>
    </w:tbl>
    <w:p>
      <w:pPr>
        <w:spacing w:after="0" w:line="112" w:lineRule="exact"/>
        <w:rPr>
          <w:sz w:val="24"/>
          <w:szCs w:val="24"/>
          <w:color w:val="auto"/>
        </w:rPr>
      </w:pPr>
    </w:p>
    <w:p>
      <w:pPr>
        <w:ind w:left="8" w:right="100"/>
        <w:spacing w:after="0" w:line="279" w:lineRule="auto"/>
        <w:rPr>
          <w:sz w:val="20"/>
          <w:szCs w:val="20"/>
          <w:color w:val="auto"/>
        </w:rPr>
      </w:pPr>
      <w:r>
        <w:rPr>
          <w:rFonts w:ascii="Times New Roman" w:cs="Times New Roman" w:eastAsia="Times New Roman" w:hAnsi="Times New Roman"/>
          <w:sz w:val="12"/>
          <w:szCs w:val="12"/>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83" w:lineRule="exact"/>
        <w:rPr>
          <w:sz w:val="24"/>
          <w:szCs w:val="24"/>
          <w:color w:val="auto"/>
        </w:rPr>
      </w:pPr>
    </w:p>
    <w:tbl>
      <w:tblPr>
        <w:tblLayout w:type="fixed"/>
        <w:tblInd w:w="8" w:type="dxa"/>
        <w:tblCellMar>
          <w:top w:w="0" w:type="dxa"/>
          <w:left w:w="0" w:type="dxa"/>
          <w:bottom w:w="0" w:type="dxa"/>
          <w:right w:w="0" w:type="dxa"/>
        </w:tblCellMar>
      </w:tblPr>
      <w:tr>
        <w:trPr>
          <w:trHeight w:val="147"/>
        </w:trPr>
        <w:tc>
          <w:tcPr>
            <w:tcW w:w="4120" w:type="dxa"/>
            <w:vAlign w:val="bottom"/>
          </w:tcPr>
          <w:p>
            <w:pPr>
              <w:spacing w:after="0"/>
              <w:rPr>
                <w:sz w:val="20"/>
                <w:szCs w:val="20"/>
                <w:color w:val="auto"/>
              </w:rPr>
            </w:pPr>
            <w:r>
              <w:rPr>
                <w:rFonts w:ascii="Times New Roman" w:cs="Times New Roman" w:eastAsia="Times New Roman" w:hAnsi="Times New Roman"/>
                <w:sz w:val="12"/>
                <w:szCs w:val="12"/>
                <w:color w:val="auto"/>
              </w:rPr>
              <w:t>Eversource Energy</w:t>
            </w:r>
          </w:p>
        </w:tc>
        <w:tc>
          <w:tcPr>
            <w:tcW w:w="7180" w:type="dxa"/>
            <w:vAlign w:val="bottom"/>
          </w:tcPr>
          <w:p>
            <w:pPr>
              <w:ind w:left="1980"/>
              <w:spacing w:after="0" w:line="121" w:lineRule="exact"/>
              <w:rPr>
                <w:sz w:val="20"/>
                <w:szCs w:val="20"/>
                <w:color w:val="auto"/>
              </w:rPr>
            </w:pPr>
            <w:r>
              <w:rPr>
                <w:rFonts w:ascii="MS PGothic" w:cs="MS PGothic" w:eastAsia="MS PGothic" w:hAnsi="MS PGothic"/>
                <w:sz w:val="12"/>
                <w:szCs w:val="12"/>
                <w:color w:val="auto"/>
              </w:rPr>
              <w:t>☐</w:t>
            </w:r>
          </w:p>
        </w:tc>
      </w:tr>
      <w:tr>
        <w:trPr>
          <w:trHeight w:val="144"/>
        </w:trPr>
        <w:tc>
          <w:tcPr>
            <w:tcW w:w="4120" w:type="dxa"/>
            <w:vAlign w:val="bottom"/>
          </w:tcPr>
          <w:p>
            <w:pPr>
              <w:spacing w:after="0"/>
              <w:rPr>
                <w:sz w:val="20"/>
                <w:szCs w:val="20"/>
                <w:color w:val="auto"/>
              </w:rPr>
            </w:pPr>
            <w:r>
              <w:rPr>
                <w:rFonts w:ascii="Times New Roman" w:cs="Times New Roman" w:eastAsia="Times New Roman" w:hAnsi="Times New Roman"/>
                <w:sz w:val="12"/>
                <w:szCs w:val="12"/>
                <w:color w:val="auto"/>
              </w:rPr>
              <w:t>The Connecticut Light and Power Company</w:t>
            </w:r>
          </w:p>
        </w:tc>
        <w:tc>
          <w:tcPr>
            <w:tcW w:w="7180" w:type="dxa"/>
            <w:vAlign w:val="bottom"/>
          </w:tcPr>
          <w:p>
            <w:pPr>
              <w:ind w:left="1980"/>
              <w:spacing w:after="0" w:line="121" w:lineRule="exact"/>
              <w:rPr>
                <w:sz w:val="20"/>
                <w:szCs w:val="20"/>
                <w:color w:val="auto"/>
              </w:rPr>
            </w:pPr>
            <w:r>
              <w:rPr>
                <w:rFonts w:ascii="MS PGothic" w:cs="MS PGothic" w:eastAsia="MS PGothic" w:hAnsi="MS PGothic"/>
                <w:sz w:val="12"/>
                <w:szCs w:val="12"/>
                <w:color w:val="auto"/>
              </w:rPr>
              <w:t>☐</w:t>
            </w:r>
          </w:p>
        </w:tc>
      </w:tr>
      <w:tr>
        <w:trPr>
          <w:trHeight w:val="144"/>
        </w:trPr>
        <w:tc>
          <w:tcPr>
            <w:tcW w:w="4120" w:type="dxa"/>
            <w:vAlign w:val="bottom"/>
          </w:tcPr>
          <w:p>
            <w:pPr>
              <w:spacing w:after="0"/>
              <w:rPr>
                <w:sz w:val="20"/>
                <w:szCs w:val="20"/>
                <w:color w:val="auto"/>
              </w:rPr>
            </w:pPr>
            <w:r>
              <w:rPr>
                <w:rFonts w:ascii="Times New Roman" w:cs="Times New Roman" w:eastAsia="Times New Roman" w:hAnsi="Times New Roman"/>
                <w:sz w:val="12"/>
                <w:szCs w:val="12"/>
                <w:color w:val="auto"/>
              </w:rPr>
              <w:t>NSTAR Electric Company</w:t>
            </w:r>
          </w:p>
        </w:tc>
        <w:tc>
          <w:tcPr>
            <w:tcW w:w="7180" w:type="dxa"/>
            <w:vAlign w:val="bottom"/>
          </w:tcPr>
          <w:p>
            <w:pPr>
              <w:ind w:left="1980"/>
              <w:spacing w:after="0" w:line="121" w:lineRule="exact"/>
              <w:rPr>
                <w:sz w:val="20"/>
                <w:szCs w:val="20"/>
                <w:color w:val="auto"/>
              </w:rPr>
            </w:pPr>
            <w:r>
              <w:rPr>
                <w:rFonts w:ascii="MS PGothic" w:cs="MS PGothic" w:eastAsia="MS PGothic" w:hAnsi="MS PGothic"/>
                <w:sz w:val="12"/>
                <w:szCs w:val="12"/>
                <w:color w:val="auto"/>
              </w:rPr>
              <w:t>☐</w:t>
            </w:r>
          </w:p>
        </w:tc>
      </w:tr>
      <w:tr>
        <w:trPr>
          <w:trHeight w:val="201"/>
        </w:trPr>
        <w:tc>
          <w:tcPr>
            <w:tcW w:w="4120" w:type="dxa"/>
            <w:vAlign w:val="bottom"/>
          </w:tcPr>
          <w:p>
            <w:pPr>
              <w:spacing w:after="0"/>
              <w:rPr>
                <w:sz w:val="20"/>
                <w:szCs w:val="20"/>
                <w:color w:val="auto"/>
              </w:rPr>
            </w:pPr>
            <w:r>
              <w:rPr>
                <w:rFonts w:ascii="Times New Roman" w:cs="Times New Roman" w:eastAsia="Times New Roman" w:hAnsi="Times New Roman"/>
                <w:sz w:val="12"/>
                <w:szCs w:val="12"/>
                <w:color w:val="auto"/>
              </w:rPr>
              <w:t>Public Service Company of New Hampshire</w:t>
            </w:r>
          </w:p>
        </w:tc>
        <w:tc>
          <w:tcPr>
            <w:tcW w:w="7180" w:type="dxa"/>
            <w:vAlign w:val="bottom"/>
          </w:tcPr>
          <w:p>
            <w:pPr>
              <w:ind w:left="1980"/>
              <w:spacing w:after="0" w:line="121" w:lineRule="exact"/>
              <w:rPr>
                <w:sz w:val="20"/>
                <w:szCs w:val="20"/>
                <w:color w:val="auto"/>
              </w:rPr>
            </w:pPr>
            <w:r>
              <w:rPr>
                <w:rFonts w:ascii="MS PGothic" w:cs="MS PGothic" w:eastAsia="MS PGothic" w:hAnsi="MS PGothic"/>
                <w:sz w:val="12"/>
                <w:szCs w:val="12"/>
                <w:color w:val="auto"/>
              </w:rPr>
              <w:t>☐</w:t>
            </w:r>
          </w:p>
        </w:tc>
      </w:tr>
      <w:tr>
        <w:trPr>
          <w:trHeight w:val="141"/>
        </w:trPr>
        <w:tc>
          <w:tcPr>
            <w:tcW w:w="4120" w:type="dxa"/>
            <w:vAlign w:val="bottom"/>
            <w:tcBorders>
              <w:bottom w:val="single" w:sz="8" w:color="auto"/>
            </w:tcBorders>
          </w:tcPr>
          <w:p>
            <w:pPr>
              <w:spacing w:after="0"/>
              <w:rPr>
                <w:sz w:val="12"/>
                <w:szCs w:val="12"/>
                <w:color w:val="auto"/>
              </w:rPr>
            </w:pPr>
          </w:p>
        </w:tc>
        <w:tc>
          <w:tcPr>
            <w:tcW w:w="7180" w:type="dxa"/>
            <w:vAlign w:val="bottom"/>
            <w:tcBorders>
              <w:bottom w:val="single" w:sz="8" w:color="auto"/>
            </w:tcBorders>
          </w:tcPr>
          <w:p>
            <w:pPr>
              <w:spacing w:after="0"/>
              <w:rPr>
                <w:sz w:val="12"/>
                <w:szCs w:val="12"/>
                <w:color w:val="auto"/>
              </w:rPr>
            </w:pPr>
          </w:p>
        </w:tc>
      </w:tr>
      <w:tr>
        <w:trPr>
          <w:trHeight w:val="20"/>
        </w:trPr>
        <w:tc>
          <w:tcPr>
            <w:tcW w:w="4120" w:type="dxa"/>
            <w:vAlign w:val="bottom"/>
            <w:tcBorders>
              <w:bottom w:val="single" w:sz="8" w:color="auto"/>
            </w:tcBorders>
          </w:tcPr>
          <w:p>
            <w:pPr>
              <w:spacing w:after="0" w:line="20" w:lineRule="exact"/>
              <w:rPr>
                <w:sz w:val="1"/>
                <w:szCs w:val="1"/>
                <w:color w:val="auto"/>
              </w:rPr>
            </w:pPr>
          </w:p>
        </w:tc>
        <w:tc>
          <w:tcPr>
            <w:tcW w:w="7180" w:type="dxa"/>
            <w:vAlign w:val="bottom"/>
            <w:tcBorders>
              <w:bottom w:val="single" w:sz="8" w:color="auto"/>
            </w:tcBorders>
          </w:tcPr>
          <w:p>
            <w:pPr>
              <w:spacing w:after="0" w:line="20" w:lineRule="exact"/>
              <w:rPr>
                <w:sz w:val="1"/>
                <w:szCs w:val="1"/>
                <w:color w:val="auto"/>
              </w:rPr>
            </w:pPr>
          </w:p>
        </w:tc>
      </w:tr>
      <w:tr>
        <w:trPr>
          <w:trHeight w:val="453"/>
        </w:trPr>
        <w:tc>
          <w:tcPr>
            <w:tcW w:w="4120" w:type="dxa"/>
            <w:vAlign w:val="bottom"/>
            <w:tcBorders>
              <w:bottom w:val="single" w:sz="8" w:color="auto"/>
            </w:tcBorders>
          </w:tcPr>
          <w:p>
            <w:pPr>
              <w:spacing w:after="0"/>
              <w:rPr>
                <w:sz w:val="24"/>
                <w:szCs w:val="24"/>
                <w:color w:val="auto"/>
              </w:rPr>
            </w:pPr>
          </w:p>
        </w:tc>
        <w:tc>
          <w:tcPr>
            <w:tcW w:w="7180" w:type="dxa"/>
            <w:vAlign w:val="bottom"/>
            <w:tcBorders>
              <w:bottom w:val="single" w:sz="8" w:color="auto"/>
            </w:tcBorders>
          </w:tcPr>
          <w:p>
            <w:pPr>
              <w:spacing w:after="0"/>
              <w:rPr>
                <w:sz w:val="24"/>
                <w:szCs w:val="24"/>
                <w:color w:val="auto"/>
              </w:rPr>
            </w:pPr>
          </w:p>
        </w:tc>
      </w:tr>
    </w:tbl>
    <w:p>
      <w:pPr>
        <w:sectPr>
          <w:pgSz w:w="11900" w:h="16838" w:orient="portrait"/>
          <w:cols w:equalWidth="0" w:num="1">
            <w:col w:w="11308"/>
          </w:cols>
          <w:pgMar w:left="292" w:top="382" w:right="299" w:bottom="1440" w:gutter="0" w:footer="0" w:header="0"/>
        </w:sectPr>
      </w:pPr>
    </w:p>
    <w:bookmarkStart w:id="1" w:name="page2"/>
    <w:bookmarkEnd w:id="1"/>
    <w:p>
      <w:pPr>
        <w:spacing w:after="0"/>
        <w:tabs>
          <w:tab w:leader="none" w:pos="840" w:val="left"/>
        </w:tabs>
        <w:rPr>
          <w:sz w:val="20"/>
          <w:szCs w:val="20"/>
          <w:color w:val="auto"/>
        </w:rPr>
      </w:pPr>
      <w:r>
        <w:rPr>
          <w:rFonts w:ascii="Times New Roman" w:cs="Times New Roman" w:eastAsia="Times New Roman" w:hAnsi="Times New Roman"/>
          <w:sz w:val="12"/>
          <w:szCs w:val="12"/>
          <w:b w:val="1"/>
          <w:bCs w:val="1"/>
          <w:color w:val="auto"/>
        </w:rPr>
        <w:t>Section 2</w:t>
      </w:r>
      <w:r>
        <w:rPr>
          <w:sz w:val="20"/>
          <w:szCs w:val="20"/>
          <w:color w:val="auto"/>
        </w:rPr>
        <w:tab/>
      </w:r>
      <w:r>
        <w:rPr>
          <w:rFonts w:ascii="Times New Roman" w:cs="Times New Roman" w:eastAsia="Times New Roman" w:hAnsi="Times New Roman"/>
          <w:sz w:val="12"/>
          <w:szCs w:val="12"/>
          <w:b w:val="1"/>
          <w:bCs w:val="1"/>
          <w:color w:val="auto"/>
        </w:rPr>
        <w:t>Financial Information</w:t>
      </w:r>
    </w:p>
    <w:p>
      <w:pPr>
        <w:spacing w:after="0" w:line="150"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2"/>
          <w:szCs w:val="12"/>
          <w:b w:val="1"/>
          <w:bCs w:val="1"/>
          <w:color w:val="auto"/>
        </w:rPr>
        <w:t>Item 2.02</w:t>
      </w:r>
      <w:r>
        <w:rPr>
          <w:sz w:val="20"/>
          <w:szCs w:val="20"/>
          <w:color w:val="auto"/>
        </w:rPr>
        <w:tab/>
      </w:r>
      <w:r>
        <w:rPr>
          <w:rFonts w:ascii="Times New Roman" w:cs="Times New Roman" w:eastAsia="Times New Roman" w:hAnsi="Times New Roman"/>
          <w:sz w:val="11"/>
          <w:szCs w:val="11"/>
          <w:b w:val="1"/>
          <w:bCs w:val="1"/>
          <w:color w:val="auto"/>
        </w:rPr>
        <w:t>Results of Operations and Financial Conditions.</w:t>
      </w:r>
    </w:p>
    <w:p>
      <w:pPr>
        <w:spacing w:after="0" w:line="154" w:lineRule="exact"/>
        <w:rPr>
          <w:sz w:val="20"/>
          <w:szCs w:val="20"/>
          <w:color w:val="auto"/>
        </w:rPr>
      </w:pPr>
    </w:p>
    <w:p>
      <w:pPr>
        <w:ind w:right="220" w:firstLine="432"/>
        <w:spacing w:after="0" w:line="279" w:lineRule="auto"/>
        <w:rPr>
          <w:sz w:val="20"/>
          <w:szCs w:val="20"/>
          <w:color w:val="auto"/>
        </w:rPr>
      </w:pPr>
      <w:r>
        <w:rPr>
          <w:rFonts w:ascii="Times New Roman" w:cs="Times New Roman" w:eastAsia="Times New Roman" w:hAnsi="Times New Roman"/>
          <w:sz w:val="12"/>
          <w:szCs w:val="12"/>
          <w:color w:val="auto"/>
        </w:rPr>
        <w:t>On July 31, 2024, Eversource Energy issued a news release announcing its unaudited results of operations for the second quarter and first six months ended June 30, 2024, and related financial information for certain of its subsidiaries as of and for the same period. A copy of the news release and related unaudited financial reports are attached as Exhibits 99.1 and 99.2, and are incorporated herein by reference thereto.</w:t>
      </w:r>
    </w:p>
    <w:p>
      <w:pPr>
        <w:spacing w:after="0" w:line="111" w:lineRule="exact"/>
        <w:rPr>
          <w:sz w:val="20"/>
          <w:szCs w:val="20"/>
          <w:color w:val="auto"/>
        </w:rPr>
      </w:pPr>
    </w:p>
    <w:p>
      <w:pPr>
        <w:ind w:right="180" w:firstLine="432"/>
        <w:spacing w:after="0" w:line="279" w:lineRule="auto"/>
        <w:rPr>
          <w:sz w:val="20"/>
          <w:szCs w:val="20"/>
          <w:color w:val="auto"/>
        </w:rPr>
      </w:pPr>
      <w:r>
        <w:rPr>
          <w:rFonts w:ascii="Times New Roman" w:cs="Times New Roman" w:eastAsia="Times New Roman" w:hAnsi="Times New Roman"/>
          <w:sz w:val="12"/>
          <w:szCs w:val="12"/>
          <w:color w:val="auto"/>
        </w:rPr>
        <w:t>The information contained in this Item 2.02, including Exhibits 99.1 and 99.2, shall not be deemed “filed” with the Securities and Exchange Commission (“SEC”) nor incorporated by reference in any registration statement filed by Eversource Energy or any subsidiary thereof under the Securities Act of 1933, as amended (the “Securities Act”), unless specified otherwise.</w:t>
      </w:r>
    </w:p>
    <w:p>
      <w:pPr>
        <w:spacing w:after="0" w:line="107"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2"/>
          <w:szCs w:val="12"/>
          <w:b w:val="1"/>
          <w:bCs w:val="1"/>
          <w:color w:val="auto"/>
        </w:rPr>
        <w:t>Section 7</w:t>
      </w:r>
      <w:r>
        <w:rPr>
          <w:sz w:val="20"/>
          <w:szCs w:val="20"/>
          <w:color w:val="auto"/>
        </w:rPr>
        <w:tab/>
      </w:r>
      <w:r>
        <w:rPr>
          <w:rFonts w:ascii="Times New Roman" w:cs="Times New Roman" w:eastAsia="Times New Roman" w:hAnsi="Times New Roman"/>
          <w:sz w:val="11"/>
          <w:szCs w:val="11"/>
          <w:b w:val="1"/>
          <w:bCs w:val="1"/>
          <w:color w:val="auto"/>
        </w:rPr>
        <w:t>Regulation FD</w:t>
      </w:r>
    </w:p>
    <w:p>
      <w:pPr>
        <w:spacing w:after="0" w:line="150"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2"/>
          <w:szCs w:val="12"/>
          <w:b w:val="1"/>
          <w:bCs w:val="1"/>
          <w:color w:val="auto"/>
        </w:rPr>
        <w:t>Item 7.01</w:t>
      </w:r>
      <w:r>
        <w:rPr>
          <w:sz w:val="20"/>
          <w:szCs w:val="20"/>
          <w:color w:val="auto"/>
        </w:rPr>
        <w:tab/>
      </w:r>
      <w:r>
        <w:rPr>
          <w:rFonts w:ascii="Times New Roman" w:cs="Times New Roman" w:eastAsia="Times New Roman" w:hAnsi="Times New Roman"/>
          <w:sz w:val="11"/>
          <w:szCs w:val="11"/>
          <w:b w:val="1"/>
          <w:bCs w:val="1"/>
          <w:color w:val="auto"/>
        </w:rPr>
        <w:t>Regulation FD Disclosure.</w:t>
      </w:r>
    </w:p>
    <w:p>
      <w:pPr>
        <w:spacing w:after="0" w:line="154" w:lineRule="exact"/>
        <w:rPr>
          <w:sz w:val="20"/>
          <w:szCs w:val="20"/>
          <w:color w:val="auto"/>
        </w:rPr>
      </w:pPr>
    </w:p>
    <w:p>
      <w:pPr>
        <w:ind w:firstLine="432"/>
        <w:spacing w:after="0" w:line="265" w:lineRule="auto"/>
        <w:rPr>
          <w:sz w:val="20"/>
          <w:szCs w:val="20"/>
          <w:color w:val="auto"/>
        </w:rPr>
      </w:pPr>
      <w:r>
        <w:rPr>
          <w:rFonts w:ascii="Times New Roman" w:cs="Times New Roman" w:eastAsia="Times New Roman" w:hAnsi="Times New Roman"/>
          <w:sz w:val="12"/>
          <w:szCs w:val="12"/>
          <w:color w:val="auto"/>
        </w:rPr>
        <w:t>On August 1, 2024, Eversource Energy will webcast a conference call with financial analysts during which senior management will discuss the company’s financial performance through the second quarter of 2024. The webcast will be accessible from the Investors section of the Eversource Energy website at www.eversource.com. Attached as Exhibit 99.3 and incorporated herein by reference are the slides to be discussed by Eversource Energy during the conference call.</w:t>
      </w:r>
    </w:p>
    <w:p>
      <w:pPr>
        <w:spacing w:after="0" w:line="119" w:lineRule="exact"/>
        <w:rPr>
          <w:sz w:val="20"/>
          <w:szCs w:val="20"/>
          <w:color w:val="auto"/>
        </w:rPr>
      </w:pPr>
    </w:p>
    <w:p>
      <w:pPr>
        <w:ind w:right="40" w:firstLine="432"/>
        <w:spacing w:after="0" w:line="279" w:lineRule="auto"/>
        <w:rPr>
          <w:sz w:val="20"/>
          <w:szCs w:val="20"/>
          <w:color w:val="auto"/>
        </w:rPr>
      </w:pPr>
      <w:r>
        <w:rPr>
          <w:rFonts w:ascii="Times New Roman" w:cs="Times New Roman" w:eastAsia="Times New Roman" w:hAnsi="Times New Roman"/>
          <w:sz w:val="12"/>
          <w:szCs w:val="12"/>
          <w:color w:val="auto"/>
        </w:rPr>
        <w:t>The information contained in this Item 7.01, including Exhibit 99.3, shall not be deemed “filed” with the SEC nor incorporated by reference into any registration statement filed by Eversource Energy or any subsidiary thereof under the Securities Act, unless specified otherwise.</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Section 9 Financial Statements and Exhibits</w:t>
      </w:r>
    </w:p>
    <w:p>
      <w:pPr>
        <w:spacing w:after="0" w:line="150"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2"/>
          <w:szCs w:val="12"/>
          <w:b w:val="1"/>
          <w:bCs w:val="1"/>
          <w:color w:val="auto"/>
        </w:rPr>
        <w:t>Item 9.01</w:t>
      </w:r>
      <w:r>
        <w:rPr>
          <w:sz w:val="20"/>
          <w:szCs w:val="20"/>
          <w:color w:val="auto"/>
        </w:rPr>
        <w:tab/>
      </w:r>
      <w:r>
        <w:rPr>
          <w:rFonts w:ascii="Times New Roman" w:cs="Times New Roman" w:eastAsia="Times New Roman" w:hAnsi="Times New Roman"/>
          <w:sz w:val="11"/>
          <w:szCs w:val="11"/>
          <w:b w:val="1"/>
          <w:bCs w:val="1"/>
          <w:color w:val="auto"/>
        </w:rPr>
        <w:t>Financial Statements and Exhibits.</w:t>
      </w:r>
    </w:p>
    <w:p>
      <w:pPr>
        <w:spacing w:after="0" w:line="154" w:lineRule="exact"/>
        <w:rPr>
          <w:sz w:val="20"/>
          <w:szCs w:val="20"/>
          <w:color w:val="auto"/>
        </w:rPr>
      </w:pPr>
    </w:p>
    <w:tbl>
      <w:tblPr>
        <w:tblLayout w:type="fixed"/>
        <w:tblInd w:w="480" w:type="dxa"/>
        <w:tblCellMar>
          <w:top w:w="0" w:type="dxa"/>
          <w:left w:w="0" w:type="dxa"/>
          <w:bottom w:w="0" w:type="dxa"/>
          <w:right w:w="0" w:type="dxa"/>
        </w:tblCellMar>
      </w:tblPr>
      <w:tr>
        <w:trPr>
          <w:trHeight w:val="144"/>
        </w:trPr>
        <w:tc>
          <w:tcPr>
            <w:tcW w:w="880" w:type="dxa"/>
            <w:vAlign w:val="bottom"/>
            <w:gridSpan w:val="4"/>
          </w:tcPr>
          <w:p>
            <w:pPr>
              <w:ind w:left="20"/>
              <w:spacing w:after="0"/>
              <w:rPr>
                <w:sz w:val="20"/>
                <w:szCs w:val="20"/>
                <w:color w:val="auto"/>
              </w:rPr>
            </w:pPr>
            <w:r>
              <w:rPr>
                <w:rFonts w:ascii="Times New Roman" w:cs="Times New Roman" w:eastAsia="Times New Roman" w:hAnsi="Times New Roman"/>
                <w:sz w:val="12"/>
                <w:szCs w:val="12"/>
                <w:color w:val="auto"/>
              </w:rPr>
              <w:t>Exhibit</w:t>
            </w:r>
          </w:p>
        </w:tc>
        <w:tc>
          <w:tcPr>
            <w:tcW w:w="5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128"/>
        </w:trPr>
        <w:tc>
          <w:tcPr>
            <w:tcW w:w="880" w:type="dxa"/>
            <w:vAlign w:val="bottom"/>
            <w:gridSpan w:val="4"/>
          </w:tcPr>
          <w:p>
            <w:pPr>
              <w:spacing w:after="0" w:line="128" w:lineRule="exact"/>
              <w:rPr>
                <w:sz w:val="20"/>
                <w:szCs w:val="20"/>
                <w:color w:val="auto"/>
              </w:rPr>
            </w:pPr>
            <w:r>
              <w:rPr>
                <w:rFonts w:ascii="Times New Roman" w:cs="Times New Roman" w:eastAsia="Times New Roman" w:hAnsi="Times New Roman"/>
                <w:sz w:val="12"/>
                <w:szCs w:val="12"/>
                <w:color w:val="auto"/>
              </w:rPr>
              <w:t>Number</w:t>
            </w:r>
          </w:p>
        </w:tc>
        <w:tc>
          <w:tcPr>
            <w:tcW w:w="3880" w:type="dxa"/>
            <w:vAlign w:val="bottom"/>
            <w:gridSpan w:val="5"/>
          </w:tcPr>
          <w:p>
            <w:pPr>
              <w:spacing w:after="0" w:line="128" w:lineRule="exact"/>
              <w:rPr>
                <w:sz w:val="20"/>
                <w:szCs w:val="20"/>
                <w:color w:val="auto"/>
              </w:rPr>
            </w:pPr>
            <w:r>
              <w:rPr>
                <w:rFonts w:ascii="Times New Roman" w:cs="Times New Roman" w:eastAsia="Times New Roman" w:hAnsi="Times New Roman"/>
                <w:sz w:val="12"/>
                <w:szCs w:val="12"/>
                <w:color w:val="auto"/>
              </w:rPr>
              <w:t>Description</w:t>
            </w:r>
          </w:p>
        </w:tc>
      </w:tr>
      <w:tr>
        <w:trPr>
          <w:trHeight w:val="20"/>
        </w:trPr>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60"/>
        </w:trPr>
        <w:tc>
          <w:tcPr>
            <w:tcW w:w="80" w:type="dxa"/>
            <w:vAlign w:val="bottom"/>
          </w:tcPr>
          <w:p>
            <w:pPr>
              <w:spacing w:after="0"/>
              <w:rPr>
                <w:sz w:val="13"/>
                <w:szCs w:val="13"/>
                <w:color w:val="auto"/>
              </w:rPr>
            </w:pPr>
          </w:p>
        </w:tc>
        <w:tc>
          <w:tcPr>
            <w:tcW w:w="220" w:type="dxa"/>
            <w:vAlign w:val="bottom"/>
          </w:tcPr>
          <w:p>
            <w:pPr>
              <w:jc w:val="center"/>
              <w:spacing w:after="0"/>
              <w:rPr>
                <w:sz w:val="20"/>
                <w:szCs w:val="20"/>
                <w:color w:val="auto"/>
              </w:rPr>
            </w:pPr>
            <w:r>
              <w:rPr>
                <w:rFonts w:ascii="Times New Roman" w:cs="Times New Roman" w:eastAsia="Times New Roman" w:hAnsi="Times New Roman"/>
                <w:sz w:val="12"/>
                <w:szCs w:val="12"/>
                <w:color w:val="0000EE"/>
              </w:rPr>
              <w:t>99.</w:t>
            </w:r>
            <w:r>
              <w:rPr>
                <w:rFonts w:ascii="Times New Roman" w:cs="Times New Roman" w:eastAsia="Times New Roman" w:hAnsi="Times New Roman"/>
                <w:sz w:val="12"/>
                <w:szCs w:val="12"/>
                <w:u w:val="single" w:color="auto"/>
                <w:color w:val="0000EE"/>
              </w:rPr>
              <w:t>1</w:t>
            </w: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80" w:type="dxa"/>
            <w:vAlign w:val="bottom"/>
            <w:gridSpan w:val="5"/>
          </w:tcPr>
          <w:p>
            <w:pPr>
              <w:spacing w:after="0"/>
              <w:rPr>
                <w:sz w:val="20"/>
                <w:szCs w:val="20"/>
                <w:color w:val="auto"/>
              </w:rPr>
            </w:pPr>
            <w:r>
              <w:rPr>
                <w:rFonts w:ascii="Times New Roman" w:cs="Times New Roman" w:eastAsia="Times New Roman" w:hAnsi="Times New Roman"/>
                <w:sz w:val="12"/>
                <w:szCs w:val="12"/>
                <w:color w:val="0000EE"/>
              </w:rPr>
              <w:t>News Release of Eversource Energy dated July 31, 2024.</w:t>
            </w:r>
          </w:p>
        </w:tc>
      </w:tr>
      <w:tr>
        <w:trPr>
          <w:trHeight w:val="20"/>
        </w:trPr>
        <w:tc>
          <w:tcPr>
            <w:tcW w:w="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80" w:type="dxa"/>
            <w:vAlign w:val="bottom"/>
            <w:gridSpan w:val="2"/>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60"/>
        </w:trPr>
        <w:tc>
          <w:tcPr>
            <w:tcW w:w="80" w:type="dxa"/>
            <w:vAlign w:val="bottom"/>
          </w:tcPr>
          <w:p>
            <w:pPr>
              <w:spacing w:after="0"/>
              <w:rPr>
                <w:sz w:val="13"/>
                <w:szCs w:val="13"/>
                <w:color w:val="auto"/>
              </w:rPr>
            </w:pPr>
          </w:p>
        </w:tc>
        <w:tc>
          <w:tcPr>
            <w:tcW w:w="220" w:type="dxa"/>
            <w:vAlign w:val="bottom"/>
            <w:tcBorders>
              <w:bottom w:val="single" w:sz="8" w:color="0000EE"/>
            </w:tcBorders>
          </w:tcPr>
          <w:p>
            <w:pPr>
              <w:jc w:val="center"/>
              <w:spacing w:after="0"/>
              <w:rPr>
                <w:sz w:val="20"/>
                <w:szCs w:val="20"/>
                <w:color w:val="auto"/>
              </w:rPr>
            </w:pPr>
            <w:r>
              <w:rPr>
                <w:rFonts w:ascii="Times New Roman" w:cs="Times New Roman" w:eastAsia="Times New Roman" w:hAnsi="Times New Roman"/>
                <w:sz w:val="12"/>
                <w:szCs w:val="12"/>
                <w:color w:val="0000EE"/>
              </w:rPr>
              <w:t>99.</w:t>
            </w:r>
            <w:r>
              <w:rPr>
                <w:rFonts w:ascii="Times New Roman" w:cs="Times New Roman" w:eastAsia="Times New Roman" w:hAnsi="Times New Roman"/>
                <w:sz w:val="12"/>
                <w:szCs w:val="12"/>
                <w:u w:val="single" w:color="auto"/>
                <w:color w:val="0000EE"/>
              </w:rPr>
              <w:t>2</w:t>
            </w: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2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2"/>
                <w:szCs w:val="12"/>
                <w:color w:val="0000EE"/>
                <w:w w:val="99"/>
              </w:rPr>
              <w:t>Financial Report for the three and six months ended June 30, 2024.</w:t>
            </w:r>
          </w:p>
        </w:tc>
        <w:tc>
          <w:tcPr>
            <w:tcW w:w="660" w:type="dxa"/>
            <w:vAlign w:val="bottom"/>
          </w:tcPr>
          <w:p>
            <w:pPr>
              <w:spacing w:after="0"/>
              <w:rPr>
                <w:sz w:val="13"/>
                <w:szCs w:val="13"/>
                <w:color w:val="auto"/>
              </w:rPr>
            </w:pPr>
          </w:p>
        </w:tc>
      </w:tr>
      <w:tr>
        <w:trPr>
          <w:trHeight w:val="160"/>
        </w:trPr>
        <w:tc>
          <w:tcPr>
            <w:tcW w:w="80" w:type="dxa"/>
            <w:vAlign w:val="bottom"/>
          </w:tcPr>
          <w:p>
            <w:pPr>
              <w:spacing w:after="0"/>
              <w:rPr>
                <w:sz w:val="13"/>
                <w:szCs w:val="13"/>
                <w:color w:val="auto"/>
              </w:rPr>
            </w:pPr>
          </w:p>
        </w:tc>
        <w:tc>
          <w:tcPr>
            <w:tcW w:w="220" w:type="dxa"/>
            <w:vAlign w:val="bottom"/>
            <w:tcBorders>
              <w:bottom w:val="single" w:sz="8" w:color="0000EE"/>
            </w:tcBorders>
          </w:tcPr>
          <w:p>
            <w:pPr>
              <w:jc w:val="center"/>
              <w:spacing w:after="0"/>
              <w:rPr>
                <w:sz w:val="20"/>
                <w:szCs w:val="20"/>
                <w:color w:val="auto"/>
              </w:rPr>
            </w:pPr>
            <w:r>
              <w:rPr>
                <w:rFonts w:ascii="Times New Roman" w:cs="Times New Roman" w:eastAsia="Times New Roman" w:hAnsi="Times New Roman"/>
                <w:sz w:val="12"/>
                <w:szCs w:val="12"/>
                <w:color w:val="0000EE"/>
              </w:rPr>
              <w:t>99.</w:t>
            </w:r>
            <w:r>
              <w:rPr>
                <w:rFonts w:ascii="Times New Roman" w:cs="Times New Roman" w:eastAsia="Times New Roman" w:hAnsi="Times New Roman"/>
                <w:sz w:val="12"/>
                <w:szCs w:val="12"/>
                <w:u w:val="single" w:color="auto"/>
                <w:color w:val="0000EE"/>
              </w:rPr>
              <w:t>3</w:t>
            </w: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2"/>
                <w:szCs w:val="12"/>
                <w:color w:val="0000EE"/>
                <w:w w:val="98"/>
              </w:rPr>
              <w:t>August 1, 2024 presentation slides.</w:t>
            </w:r>
          </w:p>
        </w:tc>
        <w:tc>
          <w:tcPr>
            <w:tcW w:w="2200" w:type="dxa"/>
            <w:vAlign w:val="bottom"/>
            <w:gridSpan w:val="3"/>
          </w:tcPr>
          <w:p>
            <w:pPr>
              <w:spacing w:after="0"/>
              <w:rPr>
                <w:sz w:val="13"/>
                <w:szCs w:val="13"/>
                <w:color w:val="auto"/>
              </w:rPr>
            </w:pPr>
          </w:p>
        </w:tc>
      </w:tr>
      <w:tr>
        <w:trPr>
          <w:trHeight w:val="187"/>
        </w:trPr>
        <w:tc>
          <w:tcPr>
            <w:tcW w:w="300" w:type="dxa"/>
            <w:vAlign w:val="bottom"/>
            <w:gridSpan w:val="2"/>
          </w:tcPr>
          <w:p>
            <w:pPr>
              <w:jc w:val="center"/>
              <w:ind w:left="20"/>
              <w:spacing w:after="0"/>
              <w:rPr>
                <w:sz w:val="20"/>
                <w:szCs w:val="20"/>
                <w:color w:val="auto"/>
              </w:rPr>
            </w:pPr>
            <w:r>
              <w:rPr>
                <w:rFonts w:ascii="Times New Roman" w:cs="Times New Roman" w:eastAsia="Times New Roman" w:hAnsi="Times New Roman"/>
                <w:sz w:val="12"/>
                <w:szCs w:val="12"/>
                <w:color w:val="auto"/>
                <w:w w:val="99"/>
              </w:rPr>
              <w:t>104</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880" w:type="dxa"/>
            <w:vAlign w:val="bottom"/>
            <w:gridSpan w:val="5"/>
          </w:tcPr>
          <w:p>
            <w:pPr>
              <w:spacing w:after="0"/>
              <w:rPr>
                <w:sz w:val="20"/>
                <w:szCs w:val="20"/>
                <w:color w:val="auto"/>
              </w:rPr>
            </w:pPr>
            <w:r>
              <w:rPr>
                <w:rFonts w:ascii="Times New Roman" w:cs="Times New Roman" w:eastAsia="Times New Roman" w:hAnsi="Times New Roman"/>
                <w:sz w:val="12"/>
                <w:szCs w:val="12"/>
                <w:color w:val="auto"/>
                <w:w w:val="99"/>
              </w:rPr>
              <w:t>Cover Page Interactive Data File (embedded within the Inline XBRL document).</w:t>
            </w:r>
          </w:p>
        </w:tc>
      </w:tr>
    </w:tbl>
    <w:p>
      <w:pPr>
        <w:spacing w:after="0" w:line="1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[The remainder of this page left blank intentionally.]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296545</wp:posOffset>
            </wp:positionV>
            <wp:extent cx="717804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40"/>
          </w:cols>
          <w:pgMar w:left="300" w:top="647" w:right="359" w:bottom="1440" w:gutter="0" w:footer="0" w:header="0"/>
        </w:sectPr>
      </w:pPr>
    </w:p>
    <w:bookmarkStart w:id="2" w:name="page3"/>
    <w:bookmarkEnd w:id="2"/>
    <w:p>
      <w:pPr>
        <w:ind w:left="5300"/>
        <w:spacing w:after="0"/>
        <w:rPr>
          <w:sz w:val="20"/>
          <w:szCs w:val="20"/>
          <w:color w:val="auto"/>
        </w:rPr>
      </w:pPr>
      <w:r>
        <w:rPr>
          <w:rFonts w:ascii="Times New Roman" w:cs="Times New Roman" w:eastAsia="Times New Roman" w:hAnsi="Times New Roman"/>
          <w:sz w:val="12"/>
          <w:szCs w:val="12"/>
          <w:b w:val="1"/>
          <w:bCs w:val="1"/>
          <w:color w:val="auto"/>
        </w:rPr>
        <w:t>SIGNATURE</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1"/>
          <w:szCs w:val="11"/>
          <w:color w:val="auto"/>
        </w:rPr>
        <w:t>Pursuant to the requirements of the Securities Exchange Act of 1934, the registrants have duly caused this report to be signed on their behalf by the undersigned hereunto duly authorized.</w:t>
      </w:r>
    </w:p>
    <w:p>
      <w:pPr>
        <w:spacing w:after="0" w:line="158"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2"/>
          <w:szCs w:val="12"/>
          <w:b w:val="1"/>
          <w:bCs w:val="1"/>
          <w:color w:val="auto"/>
        </w:rPr>
        <w:t>EVERSOURCE ENERGY</w:t>
      </w:r>
    </w:p>
    <w:p>
      <w:pPr>
        <w:spacing w:after="0" w:line="2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2"/>
          <w:szCs w:val="12"/>
          <w:b w:val="1"/>
          <w:bCs w:val="1"/>
          <w:color w:val="auto"/>
        </w:rPr>
        <w:t>THE CONNECTICUT LIGHT AND POWER COMPANY</w:t>
      </w:r>
    </w:p>
    <w:p>
      <w:pPr>
        <w:spacing w:after="0" w:line="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2"/>
          <w:szCs w:val="12"/>
          <w:b w:val="1"/>
          <w:bCs w:val="1"/>
          <w:color w:val="auto"/>
        </w:rPr>
        <w:t>NSTAR ELECTRIC COMPANY</w:t>
      </w:r>
    </w:p>
    <w:p>
      <w:pPr>
        <w:spacing w:after="0" w:line="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2"/>
          <w:szCs w:val="12"/>
          <w:b w:val="1"/>
          <w:bCs w:val="1"/>
          <w:color w:val="auto"/>
        </w:rPr>
        <w:t>PUBLIC SERVICE COMPANY OF NEW HAMPSHIRE</w:t>
      </w:r>
    </w:p>
    <w:p>
      <w:pPr>
        <w:spacing w:after="0" w:line="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2"/>
          <w:szCs w:val="12"/>
          <w:color w:val="auto"/>
        </w:rPr>
        <w:t>(Registrants)</w:t>
      </w:r>
    </w:p>
    <w:p>
      <w:pPr>
        <w:spacing w:after="0" w:line="139" w:lineRule="exact"/>
        <w:rPr>
          <w:sz w:val="20"/>
          <w:szCs w:val="20"/>
          <w:color w:val="auto"/>
        </w:rPr>
      </w:pPr>
    </w:p>
    <w:p>
      <w:pPr>
        <w:ind w:left="5660"/>
        <w:spacing w:after="0"/>
        <w:tabs>
          <w:tab w:leader="none" w:pos="5960" w:val="left"/>
        </w:tabs>
        <w:rPr>
          <w:sz w:val="20"/>
          <w:szCs w:val="20"/>
          <w:color w:val="auto"/>
        </w:rPr>
      </w:pPr>
      <w:r>
        <w:rPr>
          <w:rFonts w:ascii="Times New Roman" w:cs="Times New Roman" w:eastAsia="Times New Roman" w:hAnsi="Times New Roman"/>
          <w:sz w:val="12"/>
          <w:szCs w:val="12"/>
          <w:color w:val="auto"/>
        </w:rPr>
        <w:t>By:</w:t>
        <w:tab/>
        <w:t>/s/ J</w:t>
      </w:r>
      <w:r>
        <w:rPr>
          <w:rFonts w:ascii="Times New Roman" w:cs="Times New Roman" w:eastAsia="Times New Roman" w:hAnsi="Times New Roman"/>
          <w:sz w:val="8"/>
          <w:szCs w:val="8"/>
          <w:color w:val="auto"/>
        </w:rPr>
        <w:t>ay</w:t>
      </w:r>
      <w:r>
        <w:rPr>
          <w:rFonts w:ascii="Times New Roman" w:cs="Times New Roman" w:eastAsia="Times New Roman" w:hAnsi="Times New Roman"/>
          <w:sz w:val="12"/>
          <w:szCs w:val="12"/>
          <w:color w:val="auto"/>
        </w:rPr>
        <w:t xml:space="preserve"> S. B</w:t>
      </w:r>
      <w:r>
        <w:rPr>
          <w:rFonts w:ascii="Times New Roman" w:cs="Times New Roman" w:eastAsia="Times New Roman" w:hAnsi="Times New Roman"/>
          <w:sz w:val="8"/>
          <w:szCs w:val="8"/>
          <w:color w:val="auto"/>
        </w:rPr>
        <w:t>uth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3801110</wp:posOffset>
            </wp:positionH>
            <wp:positionV relativeFrom="paragraph">
              <wp:posOffset>10795</wp:posOffset>
            </wp:positionV>
            <wp:extent cx="337185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71850" cy="5715"/>
                    </a:xfrm>
                    <a:prstGeom prst="rect">
                      <a:avLst/>
                    </a:prstGeom>
                    <a:noFill/>
                  </pic:spPr>
                </pic:pic>
              </a:graphicData>
            </a:graphic>
          </wp:anchor>
        </w:drawing>
      </w:r>
    </w:p>
    <w:p>
      <w:pPr>
        <w:spacing w:after="0"/>
        <w:tabs>
          <w:tab w:leader="none" w:pos="5960" w:val="left"/>
        </w:tabs>
        <w:rPr>
          <w:sz w:val="20"/>
          <w:szCs w:val="20"/>
          <w:color w:val="auto"/>
        </w:rPr>
      </w:pPr>
      <w:r>
        <w:rPr>
          <w:rFonts w:ascii="Times New Roman" w:cs="Times New Roman" w:eastAsia="Times New Roman" w:hAnsi="Times New Roman"/>
          <w:sz w:val="12"/>
          <w:szCs w:val="12"/>
          <w:color w:val="auto"/>
        </w:rPr>
        <w:t>July 31, 2024</w:t>
      </w:r>
      <w:r>
        <w:rPr>
          <w:sz w:val="20"/>
          <w:szCs w:val="20"/>
          <w:color w:val="auto"/>
        </w:rPr>
        <w:tab/>
      </w:r>
      <w:r>
        <w:rPr>
          <w:rFonts w:ascii="Times New Roman" w:cs="Times New Roman" w:eastAsia="Times New Roman" w:hAnsi="Times New Roman"/>
          <w:sz w:val="12"/>
          <w:szCs w:val="12"/>
          <w:color w:val="auto"/>
        </w:rPr>
        <w:t>Jay S. Buth</w:t>
      </w:r>
    </w:p>
    <w:p>
      <w:pPr>
        <w:spacing w:after="0" w:line="15"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2"/>
          <w:szCs w:val="12"/>
          <w:color w:val="auto"/>
        </w:rPr>
        <w:t>Vice President, Controller and</w:t>
      </w:r>
    </w:p>
    <w:p>
      <w:pPr>
        <w:spacing w:after="0" w:line="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2"/>
          <w:szCs w:val="12"/>
          <w:color w:val="auto"/>
        </w:rPr>
        <w:t>Chief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289560</wp:posOffset>
            </wp:positionV>
            <wp:extent cx="717804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159"/>
          </w:cols>
          <w:pgMar w:left="300" w:top="647" w:right="1440"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2"/>
          <w:szCs w:val="1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1143635</wp:posOffset>
            </wp:positionH>
            <wp:positionV relativeFrom="paragraph">
              <wp:posOffset>104775</wp:posOffset>
            </wp:positionV>
            <wp:extent cx="4857750" cy="7143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857750" cy="714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Eversource Energy Reports Second Quarter 2024 Results</w:t>
      </w:r>
    </w:p>
    <w:p>
      <w:pPr>
        <w:spacing w:after="0" w:line="150"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2"/>
          <w:szCs w:val="12"/>
          <w:b w:val="1"/>
          <w:bCs w:val="1"/>
          <w:color w:val="auto"/>
        </w:rPr>
        <w:t xml:space="preserve">HARTFORD, Conn. and BOSTON, Mass. (July 31, 2024) – </w:t>
      </w:r>
      <w:r>
        <w:rPr>
          <w:rFonts w:ascii="Times New Roman" w:cs="Times New Roman" w:eastAsia="Times New Roman" w:hAnsi="Times New Roman"/>
          <w:sz w:val="12"/>
          <w:szCs w:val="12"/>
          <w:color w:val="auto"/>
        </w:rPr>
        <w:t>Eversource Energy (NYSE: ES) today reported GAAP earnings of $335.3 million, or $0.95 per share, for the second quarter of 2024, compared with earnings of $15.4</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million, or $0.04 per share, for the second quarter of 2023. For the first half of 2024, Eversource Energy reported GAAP earnings of $857.2 million, or $2.43 per share, compared with earnings of $506.6 million, or $1.45 per share, for the first half of 2023.</w:t>
      </w:r>
    </w:p>
    <w:p>
      <w:pPr>
        <w:spacing w:after="0" w:line="118" w:lineRule="exact"/>
        <w:rPr>
          <w:sz w:val="20"/>
          <w:szCs w:val="20"/>
          <w:color w:val="auto"/>
        </w:rPr>
      </w:pPr>
    </w:p>
    <w:p>
      <w:pPr>
        <w:ind w:right="200"/>
        <w:spacing w:after="0" w:line="297" w:lineRule="auto"/>
        <w:rPr>
          <w:sz w:val="20"/>
          <w:szCs w:val="20"/>
          <w:color w:val="auto"/>
        </w:rPr>
      </w:pPr>
      <w:r>
        <w:rPr>
          <w:rFonts w:ascii="Times New Roman" w:cs="Times New Roman" w:eastAsia="Times New Roman" w:hAnsi="Times New Roman"/>
          <w:sz w:val="12"/>
          <w:szCs w:val="12"/>
          <w:color w:val="auto"/>
        </w:rPr>
        <w:t>Results in 2023 include after-tax charges of $337.2 million, or $0.96 per share in the second quarter of 2023, and $337.7 million, or $0.96 per share, in the first half of 2023, primarily related to an impairment of Eversource Energy’s offshore wind investment. Excluding these charges, Eversource Energy earned $352.6 million</w:t>
      </w:r>
      <w:r>
        <w:rPr>
          <w:rFonts w:ascii="Times New Roman" w:cs="Times New Roman" w:eastAsia="Times New Roman" w:hAnsi="Times New Roman"/>
          <w:sz w:val="19"/>
          <w:szCs w:val="19"/>
          <w:color w:val="auto"/>
          <w:vertAlign w:val="superscript"/>
        </w:rPr>
        <w:t>1</w:t>
      </w:r>
      <w:r>
        <w:rPr>
          <w:rFonts w:ascii="Times New Roman" w:cs="Times New Roman" w:eastAsia="Times New Roman" w:hAnsi="Times New Roman"/>
          <w:sz w:val="12"/>
          <w:szCs w:val="12"/>
          <w:color w:val="auto"/>
        </w:rPr>
        <w:t>, or $1.00 per share</w:t>
      </w:r>
      <w:r>
        <w:rPr>
          <w:rFonts w:ascii="Times New Roman" w:cs="Times New Roman" w:eastAsia="Times New Roman" w:hAnsi="Times New Roman"/>
          <w:sz w:val="19"/>
          <w:szCs w:val="19"/>
          <w:color w:val="auto"/>
          <w:vertAlign w:val="superscript"/>
        </w:rPr>
        <w:t>1</w:t>
      </w:r>
      <w:r>
        <w:rPr>
          <w:rFonts w:ascii="Times New Roman" w:cs="Times New Roman" w:eastAsia="Times New Roman" w:hAnsi="Times New Roman"/>
          <w:sz w:val="12"/>
          <w:szCs w:val="12"/>
          <w:color w:val="auto"/>
        </w:rPr>
        <w:t>, in the second quarter of 2023 and $844.3 million</w:t>
      </w:r>
      <w:r>
        <w:rPr>
          <w:rFonts w:ascii="Times New Roman" w:cs="Times New Roman" w:eastAsia="Times New Roman" w:hAnsi="Times New Roman"/>
          <w:sz w:val="19"/>
          <w:szCs w:val="19"/>
          <w:color w:val="auto"/>
          <w:vertAlign w:val="superscript"/>
        </w:rPr>
        <w:t>1</w:t>
      </w:r>
      <w:r>
        <w:rPr>
          <w:rFonts w:ascii="Times New Roman" w:cs="Times New Roman" w:eastAsia="Times New Roman" w:hAnsi="Times New Roman"/>
          <w:sz w:val="12"/>
          <w:szCs w:val="12"/>
          <w:color w:val="auto"/>
        </w:rPr>
        <w:t>, or $2.41 per share</w:t>
      </w:r>
      <w:r>
        <w:rPr>
          <w:rFonts w:ascii="Times New Roman" w:cs="Times New Roman" w:eastAsia="Times New Roman" w:hAnsi="Times New Roman"/>
          <w:sz w:val="19"/>
          <w:szCs w:val="19"/>
          <w:color w:val="auto"/>
          <w:vertAlign w:val="superscript"/>
        </w:rPr>
        <w:t>1</w:t>
      </w:r>
      <w:r>
        <w:rPr>
          <w:rFonts w:ascii="Times New Roman" w:cs="Times New Roman" w:eastAsia="Times New Roman" w:hAnsi="Times New Roman"/>
          <w:sz w:val="12"/>
          <w:szCs w:val="12"/>
          <w:color w:val="auto"/>
        </w:rPr>
        <w:t>, in the first half of 2023.</w:t>
      </w:r>
    </w:p>
    <w:p>
      <w:pPr>
        <w:spacing w:after="0" w:line="18" w:lineRule="exact"/>
        <w:rPr>
          <w:sz w:val="20"/>
          <w:szCs w:val="20"/>
          <w:color w:val="auto"/>
        </w:rPr>
      </w:pPr>
    </w:p>
    <w:p>
      <w:pPr>
        <w:ind w:right="80"/>
        <w:spacing w:after="0" w:line="297" w:lineRule="auto"/>
        <w:rPr>
          <w:sz w:val="20"/>
          <w:szCs w:val="20"/>
          <w:color w:val="auto"/>
        </w:rPr>
      </w:pPr>
      <w:r>
        <w:rPr>
          <w:rFonts w:ascii="Times New Roman" w:cs="Times New Roman" w:eastAsia="Times New Roman" w:hAnsi="Times New Roman"/>
          <w:sz w:val="12"/>
          <w:szCs w:val="12"/>
          <w:color w:val="auto"/>
        </w:rPr>
        <w:t>The company reaffirms its 2024 non-GAAP earnings projection of between $4.50 per share and $4.67 per share. It also reaffirms its long-term earnings per share growth rate within the range of 5 to 7 percent from a 2023 base of $4.34 per share</w:t>
      </w:r>
      <w:r>
        <w:rPr>
          <w:rFonts w:ascii="Times New Roman" w:cs="Times New Roman" w:eastAsia="Times New Roman" w:hAnsi="Times New Roman"/>
          <w:sz w:val="19"/>
          <w:szCs w:val="19"/>
          <w:color w:val="auto"/>
          <w:vertAlign w:val="superscript"/>
        </w:rPr>
        <w:t>1</w:t>
      </w:r>
      <w:r>
        <w:rPr>
          <w:rFonts w:ascii="Times New Roman" w:cs="Times New Roman" w:eastAsia="Times New Roman" w:hAnsi="Times New Roman"/>
          <w:sz w:val="12"/>
          <w:szCs w:val="12"/>
          <w:color w:val="auto"/>
        </w:rPr>
        <w:t>.</w:t>
      </w:r>
    </w:p>
    <w:p>
      <w:pPr>
        <w:spacing w:after="0" w:line="18"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2"/>
          <w:szCs w:val="12"/>
          <w:color w:val="auto"/>
        </w:rPr>
        <w:t>“Eversource once again delivered solid financial results for the second quarter and top-tier service reliability and storm response for customers, while positioning our company well for the future of clean energy,” said Joe Nolan, Eversource Energy Chairman, President and Chief Executive Officer. “We commissioned our first-in-the-nation networked geothermal pilot project and the first round of our Cape Cod Solution transmission project, which will bolster reliability while enabling the interconnection of more renewable energy. We look forward to continuing to advance our Electric Sector Modernization Plan in Massachusetts, and to working with Connecticut and New Hampshire to enable and encourage a low-carbon future.”</w:t>
      </w:r>
    </w:p>
    <w:p>
      <w:pPr>
        <w:spacing w:after="0" w:line="122" w:lineRule="exact"/>
        <w:rPr>
          <w:sz w:val="20"/>
          <w:szCs w:val="20"/>
          <w:color w:val="auto"/>
        </w:rPr>
      </w:pPr>
    </w:p>
    <w:p>
      <w:pPr>
        <w:ind w:right="20"/>
        <w:spacing w:after="0" w:line="279" w:lineRule="auto"/>
        <w:rPr>
          <w:sz w:val="20"/>
          <w:szCs w:val="20"/>
          <w:color w:val="auto"/>
        </w:rPr>
      </w:pPr>
      <w:r>
        <w:rPr>
          <w:rFonts w:ascii="Times New Roman" w:cs="Times New Roman" w:eastAsia="Times New Roman" w:hAnsi="Times New Roman"/>
          <w:sz w:val="12"/>
          <w:szCs w:val="12"/>
          <w:color w:val="auto"/>
        </w:rPr>
        <w:t>“We are very pleased to have closed on the sale of the Sunrise Wind Project to Ørsted and that we expect to close the sale of the Revolution and South Fork Wind Projects to Global Infrastructure Partners later this quarter. Closing these transactions delivers on our commitment to exit the offshore wind business and focus our resources on regulated growth opportunities to meet customer demand.”</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Electric Transmission</w:t>
      </w:r>
    </w:p>
    <w:p>
      <w:pPr>
        <w:spacing w:after="0" w:line="154" w:lineRule="exact"/>
        <w:rPr>
          <w:sz w:val="20"/>
          <w:szCs w:val="20"/>
          <w:color w:val="auto"/>
        </w:rPr>
      </w:pPr>
    </w:p>
    <w:p>
      <w:pPr>
        <w:ind w:right="80"/>
        <w:spacing w:after="0" w:line="327" w:lineRule="auto"/>
        <w:rPr>
          <w:sz w:val="20"/>
          <w:szCs w:val="20"/>
          <w:color w:val="auto"/>
        </w:rPr>
      </w:pPr>
      <w:r>
        <w:rPr>
          <w:rFonts w:ascii="Times New Roman" w:cs="Times New Roman" w:eastAsia="Times New Roman" w:hAnsi="Times New Roman"/>
          <w:sz w:val="11"/>
          <w:szCs w:val="11"/>
          <w:color w:val="auto"/>
        </w:rPr>
        <w:t>Eversource Energy’s transmission segment earned $189.0 million in the second quarter of 2024 and $365.7 million in the first half of 2024, compared with earnings of $161.0 million in the second quarter of 2023 and $316.1 million in the first half of 2023. Transmission segment results improved in both periods due primarily to a higher level of investment in Eversource’s electric transmission system, as well as the impact from the annual rate reconciliation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256540</wp:posOffset>
            </wp:positionV>
            <wp:extent cx="717804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413" w:right="2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2"/>
          <w:szCs w:val="12"/>
          <w:b w:val="1"/>
          <w:bCs w:val="1"/>
          <w:u w:val="single" w:color="auto"/>
          <w:color w:val="auto"/>
        </w:rPr>
        <w:t>Electric Distribution</w:t>
      </w:r>
    </w:p>
    <w:p>
      <w:pPr>
        <w:spacing w:after="0" w:line="154"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2"/>
          <w:szCs w:val="12"/>
          <w:color w:val="auto"/>
        </w:rPr>
        <w:t>Eversource Energy’s electric distribution segment earned $149.7 million in the second quarter of 2024 and $317.9 million in the first half of 2024, compared with earnings of $165.5 million in the second quarter of 2023 and $331.0 million in the first half of 2023. Lower results in both periods were due primarily to higher non-tracked operations and maintenance expense (O&amp;M) driven by higher storm restoration costs of $16.2 million pre-tax ($12.2 million after tax), the absence of the prior year benefit related to a favorable regulatory decision in New Hampshire, as well as higher interest, depreciation and property tax expense, partially offset by higher revenues from the January 1, 2024 base distribution rate increase for Eversource's Massachusetts electric business and from continued investments in our distribution system.</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Natural Gas Distribution</w:t>
      </w:r>
    </w:p>
    <w:p>
      <w:pPr>
        <w:spacing w:after="0" w:line="154"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2"/>
          <w:szCs w:val="12"/>
          <w:color w:val="auto"/>
        </w:rPr>
        <w:t>Eversource Energy’s natural gas distribution segment earned $27.1 million in the second quarter of 2024 and $217.6 million in the first half of 2024, compared with earnings of $11.7 million in the second quarter of 2023 and $181.9 million in the first half of 2023. Improved results in both periods were due primarily to higher revenues associated with investments in our natural gas infrastructure and a base distribution rate increase at NSTAR Gas, as well as lower non-tracked O&amp;M, partially offset by higher depreciation and interest expense.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Water Distribution</w:t>
      </w:r>
    </w:p>
    <w:p>
      <w:pPr>
        <w:spacing w:after="0" w:line="154"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2"/>
          <w:szCs w:val="12"/>
          <w:color w:val="auto"/>
        </w:rPr>
        <w:t>Eversource Energy’s water distribution segment earned $8.0 million in the second quarter of 2024 and $13.4 million in the first half of 2024, compared with earnings of $9.3 million in the second quarter of 2023 and $10.8 million in the first half of 2023. Lower earnings in the second quarter were due primarily to higher non-tracked O&amp;M and interest expense. Higher earnings in the first half were due primarily to lower depreciation and higher revenues from our two water company acquisitions in the prior year, partially offset by higher interest and non-tracked O&amp;M.</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Eversource Parent and Other Companies</w:t>
      </w:r>
    </w:p>
    <w:p>
      <w:pPr>
        <w:spacing w:after="0" w:line="156" w:lineRule="exact"/>
        <w:rPr>
          <w:sz w:val="20"/>
          <w:szCs w:val="20"/>
          <w:color w:val="auto"/>
        </w:rPr>
      </w:pPr>
    </w:p>
    <w:p>
      <w:pPr>
        <w:ind w:right="200"/>
        <w:spacing w:after="0" w:line="238" w:lineRule="auto"/>
        <w:rPr>
          <w:sz w:val="20"/>
          <w:szCs w:val="20"/>
          <w:color w:val="auto"/>
        </w:rPr>
      </w:pPr>
      <w:r>
        <w:rPr>
          <w:rFonts w:ascii="Times New Roman" w:cs="Times New Roman" w:eastAsia="Times New Roman" w:hAnsi="Times New Roman"/>
          <w:sz w:val="12"/>
          <w:szCs w:val="12"/>
          <w:color w:val="auto"/>
        </w:rPr>
        <w:t>Eversource Energy parent and other companies, excluding the charges noted above, had a loss of $38.5 million in the second quarter of 2024 and $57.4 million in the first half of 2024, compared with earnings of $5.1 million</w:t>
      </w:r>
      <w:r>
        <w:rPr>
          <w:rFonts w:ascii="Times New Roman" w:cs="Times New Roman" w:eastAsia="Times New Roman" w:hAnsi="Times New Roman"/>
          <w:sz w:val="19"/>
          <w:szCs w:val="19"/>
          <w:color w:val="auto"/>
          <w:vertAlign w:val="superscript"/>
        </w:rPr>
        <w:t>1</w:t>
      </w:r>
      <w:r>
        <w:rPr>
          <w:rFonts w:ascii="Times New Roman" w:cs="Times New Roman" w:eastAsia="Times New Roman" w:hAnsi="Times New Roman"/>
          <w:sz w:val="12"/>
          <w:szCs w:val="12"/>
          <w:color w:val="auto"/>
        </w:rPr>
        <w:t xml:space="preserve"> in the second quarter of 2023 and $4.5 million</w:t>
      </w:r>
      <w:r>
        <w:rPr>
          <w:rFonts w:ascii="Times New Roman" w:cs="Times New Roman" w:eastAsia="Times New Roman" w:hAnsi="Times New Roman"/>
          <w:sz w:val="19"/>
          <w:szCs w:val="19"/>
          <w:color w:val="auto"/>
          <w:vertAlign w:val="superscript"/>
        </w:rPr>
        <w:t>1</w:t>
      </w:r>
      <w:r>
        <w:rPr>
          <w:rFonts w:ascii="Times New Roman" w:cs="Times New Roman" w:eastAsia="Times New Roman" w:hAnsi="Times New Roman"/>
          <w:sz w:val="12"/>
          <w:szCs w:val="12"/>
          <w:color w:val="auto"/>
        </w:rPr>
        <w:t xml:space="preserve"> in the first half of 2023. Lower results in both periods were primarily the result of higher 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233680</wp:posOffset>
            </wp:positionV>
            <wp:extent cx="717804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80"/>
          </w:cols>
          <w:pgMar w:left="300" w:top="647" w:right="3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2"/>
          <w:szCs w:val="12"/>
          <w:b w:val="1"/>
          <w:bCs w:val="1"/>
          <w:u w:val="single" w:color="auto"/>
          <w:color w:val="auto"/>
        </w:rPr>
        <w:t>Eversource Energy Consolidated Earnings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The following table reconciles consolidated GAAP earnings per share for the second quarter and first half of 2024 and 2023:</w:t>
      </w:r>
    </w:p>
    <w:p>
      <w:pPr>
        <w:sectPr>
          <w:pgSz w:w="11900" w:h="16838" w:orient="portrait"/>
          <w:cols w:equalWidth="0" w:num="1">
            <w:col w:w="11220"/>
          </w:cols>
          <w:pgMar w:left="300" w:top="647" w:right="379" w:bottom="1440" w:gutter="0" w:footer="0" w:header="0"/>
        </w:sectPr>
      </w:pPr>
    </w:p>
    <w:p>
      <w:pPr>
        <w:spacing w:after="0" w:line="3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b w:val="1"/>
          <w:bCs w:val="1"/>
          <w:color w:val="auto"/>
        </w:rPr>
        <w:t>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b w:val="1"/>
          <w:bCs w:val="1"/>
          <w:color w:val="auto"/>
        </w:rPr>
        <w:t>2024</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9"/>
        </w:trPr>
        <w:tc>
          <w:tcPr>
            <w:tcW w:w="734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Reported GAAP EPS</w:t>
            </w: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Second Quarter</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20" w:type="dxa"/>
            <w:vAlign w:val="bottom"/>
            <w:gridSpan w:val="3"/>
          </w:tcPr>
          <w:p>
            <w:pPr>
              <w:ind w:left="200"/>
              <w:spacing w:after="0"/>
              <w:rPr>
                <w:sz w:val="20"/>
                <w:szCs w:val="20"/>
                <w:color w:val="auto"/>
              </w:rPr>
            </w:pPr>
            <w:r>
              <w:rPr>
                <w:rFonts w:ascii="Times New Roman" w:cs="Times New Roman" w:eastAsia="Times New Roman" w:hAnsi="Times New Roman"/>
                <w:sz w:val="12"/>
                <w:szCs w:val="12"/>
                <w:b w:val="1"/>
                <w:bCs w:val="1"/>
                <w:color w:val="auto"/>
              </w:rPr>
              <w:t>First Half</w:t>
            </w:r>
          </w:p>
        </w:tc>
        <w:tc>
          <w:tcPr>
            <w:tcW w:w="0" w:type="dxa"/>
            <w:vAlign w:val="bottom"/>
          </w:tcPr>
          <w:p>
            <w:pPr>
              <w:spacing w:after="0"/>
              <w:rPr>
                <w:sz w:val="1"/>
                <w:szCs w:val="1"/>
                <w:color w:val="auto"/>
              </w:rPr>
            </w:pPr>
          </w:p>
        </w:tc>
      </w:tr>
      <w:tr>
        <w:trPr>
          <w:trHeight w:val="133"/>
        </w:trPr>
        <w:tc>
          <w:tcPr>
            <w:tcW w:w="7340" w:type="dxa"/>
            <w:vAlign w:val="bottom"/>
            <w:vMerge w:val="continue"/>
          </w:tcPr>
          <w:p>
            <w:pPr>
              <w:spacing w:after="0"/>
              <w:rPr>
                <w:sz w:val="11"/>
                <w:szCs w:val="11"/>
                <w:color w:val="auto"/>
              </w:rPr>
            </w:pPr>
          </w:p>
        </w:tc>
        <w:tc>
          <w:tcPr>
            <w:tcW w:w="1200" w:type="dxa"/>
            <w:vAlign w:val="bottom"/>
            <w:tcBorders>
              <w:top w:val="single" w:sz="8" w:color="auto"/>
              <w:bottom w:val="single" w:sz="8" w:color="auto"/>
            </w:tcBorders>
          </w:tcPr>
          <w:p>
            <w:pPr>
              <w:jc w:val="right"/>
              <w:ind w:right="108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28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0.04</w:t>
            </w:r>
          </w:p>
        </w:tc>
        <w:tc>
          <w:tcPr>
            <w:tcW w:w="220" w:type="dxa"/>
            <w:vAlign w:val="bottom"/>
          </w:tcPr>
          <w:p>
            <w:pPr>
              <w:spacing w:after="0"/>
              <w:rPr>
                <w:sz w:val="11"/>
                <w:szCs w:val="11"/>
                <w:color w:val="auto"/>
              </w:rPr>
            </w:pPr>
          </w:p>
        </w:tc>
        <w:tc>
          <w:tcPr>
            <w:tcW w:w="280" w:type="dxa"/>
            <w:vAlign w:val="bottom"/>
            <w:tcBorders>
              <w:top w:val="single" w:sz="8" w:color="auto"/>
              <w:bottom w:val="single" w:sz="8" w:color="auto"/>
            </w:tcBorders>
          </w:tcPr>
          <w:p>
            <w:pPr>
              <w:jc w:val="right"/>
              <w:ind w:right="140"/>
              <w:spacing w:after="0" w:line="133" w:lineRule="exact"/>
              <w:rPr>
                <w:sz w:val="20"/>
                <w:szCs w:val="20"/>
                <w:color w:val="auto"/>
              </w:rPr>
            </w:pPr>
            <w:r>
              <w:rPr>
                <w:rFonts w:ascii="Times New Roman" w:cs="Times New Roman" w:eastAsia="Times New Roman" w:hAnsi="Times New Roman"/>
                <w:sz w:val="12"/>
                <w:szCs w:val="12"/>
                <w:b w:val="1"/>
                <w:bCs w:val="1"/>
                <w:color w:val="auto"/>
                <w:w w:val="99"/>
              </w:rPr>
              <w:t>$</w:t>
            </w:r>
          </w:p>
        </w:tc>
        <w:tc>
          <w:tcPr>
            <w:tcW w:w="1180" w:type="dxa"/>
            <w:vAlign w:val="bottom"/>
            <w:tcBorders>
              <w:top w:val="single" w:sz="8" w:color="auto"/>
              <w:bottom w:val="single" w:sz="8" w:color="auto"/>
            </w:tcBorders>
          </w:tcPr>
          <w:p>
            <w:pPr>
              <w:jc w:val="center"/>
              <w:ind w:left="920"/>
              <w:spacing w:after="0" w:line="133" w:lineRule="exact"/>
              <w:rPr>
                <w:sz w:val="20"/>
                <w:szCs w:val="20"/>
                <w:color w:val="auto"/>
              </w:rPr>
            </w:pPr>
            <w:r>
              <w:rPr>
                <w:rFonts w:ascii="Times New Roman" w:cs="Times New Roman" w:eastAsia="Times New Roman" w:hAnsi="Times New Roman"/>
                <w:sz w:val="12"/>
                <w:szCs w:val="12"/>
                <w:b w:val="1"/>
                <w:bCs w:val="1"/>
                <w:color w:val="auto"/>
                <w:w w:val="95"/>
              </w:rPr>
              <w:t>1.45</w:t>
            </w:r>
          </w:p>
        </w:tc>
        <w:tc>
          <w:tcPr>
            <w:tcW w:w="2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734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Higher electric transmission segment earnings in 2024</w:t>
            </w:r>
          </w:p>
        </w:tc>
        <w:tc>
          <w:tcPr>
            <w:tcW w:w="1200" w:type="dxa"/>
            <w:vAlign w:val="bottom"/>
          </w:tcPr>
          <w:p>
            <w:pPr>
              <w:spacing w:after="0"/>
              <w:rPr>
                <w:sz w:val="10"/>
                <w:szCs w:val="10"/>
                <w:color w:val="auto"/>
              </w:rPr>
            </w:pPr>
          </w:p>
        </w:tc>
        <w:tc>
          <w:tcPr>
            <w:tcW w:w="280" w:type="dxa"/>
            <w:vAlign w:val="bottom"/>
          </w:tcPr>
          <w:p>
            <w:pPr>
              <w:jc w:val="right"/>
              <w:spacing w:after="0" w:line="122" w:lineRule="exact"/>
              <w:rPr>
                <w:sz w:val="20"/>
                <w:szCs w:val="20"/>
                <w:color w:val="auto"/>
              </w:rPr>
            </w:pPr>
            <w:r>
              <w:rPr>
                <w:rFonts w:ascii="Times New Roman" w:cs="Times New Roman" w:eastAsia="Times New Roman" w:hAnsi="Times New Roman"/>
                <w:sz w:val="12"/>
                <w:szCs w:val="12"/>
                <w:color w:val="auto"/>
              </w:rPr>
              <w:t>0.08</w:t>
            </w: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0" w:type="dxa"/>
            <w:vAlign w:val="bottom"/>
            <w:gridSpan w:val="2"/>
          </w:tcPr>
          <w:p>
            <w:pPr>
              <w:jc w:val="center"/>
              <w:ind w:left="900"/>
              <w:spacing w:after="0" w:line="122" w:lineRule="exact"/>
              <w:rPr>
                <w:sz w:val="20"/>
                <w:szCs w:val="20"/>
                <w:color w:val="auto"/>
              </w:rPr>
            </w:pPr>
            <w:r>
              <w:rPr>
                <w:rFonts w:ascii="Times New Roman" w:cs="Times New Roman" w:eastAsia="Times New Roman" w:hAnsi="Times New Roman"/>
                <w:sz w:val="12"/>
                <w:szCs w:val="12"/>
                <w:color w:val="auto"/>
                <w:w w:val="95"/>
              </w:rPr>
              <w:t>0.14</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7340" w:type="dxa"/>
            <w:vAlign w:val="bottom"/>
          </w:tcPr>
          <w:p>
            <w:pPr>
              <w:spacing w:after="0"/>
              <w:rPr>
                <w:sz w:val="20"/>
                <w:szCs w:val="20"/>
                <w:color w:val="auto"/>
              </w:rPr>
            </w:pPr>
            <w:r>
              <w:rPr>
                <w:rFonts w:ascii="Times New Roman" w:cs="Times New Roman" w:eastAsia="Times New Roman" w:hAnsi="Times New Roman"/>
                <w:sz w:val="12"/>
                <w:szCs w:val="12"/>
                <w:color w:val="auto"/>
              </w:rPr>
              <w:t>At the electric distribution segment, higher non-tracked O&amp;M, the absence of a regulatory benefit in New Hampshire, as well as higher interest,</w:t>
            </w:r>
          </w:p>
        </w:tc>
        <w:tc>
          <w:tcPr>
            <w:tcW w:w="1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7340" w:type="dxa"/>
            <w:vAlign w:val="bottom"/>
          </w:tcPr>
          <w:p>
            <w:pPr>
              <w:spacing w:after="0"/>
              <w:rPr>
                <w:sz w:val="20"/>
                <w:szCs w:val="20"/>
                <w:color w:val="auto"/>
              </w:rPr>
            </w:pPr>
            <w:r>
              <w:rPr>
                <w:rFonts w:ascii="Times New Roman" w:cs="Times New Roman" w:eastAsia="Times New Roman" w:hAnsi="Times New Roman"/>
                <w:sz w:val="12"/>
                <w:szCs w:val="12"/>
                <w:color w:val="auto"/>
              </w:rPr>
              <w:t>depreciation expense and share dilution, partially offset by higher revenues</w:t>
            </w:r>
          </w:p>
        </w:tc>
        <w:tc>
          <w:tcPr>
            <w:tcW w:w="1200" w:type="dxa"/>
            <w:vAlign w:val="bottom"/>
          </w:tcPr>
          <w:p>
            <w:pPr>
              <w:spacing w:after="0"/>
              <w:rPr>
                <w:sz w:val="13"/>
                <w:szCs w:val="13"/>
                <w:color w:val="auto"/>
              </w:rPr>
            </w:pP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(0.05)</w:t>
            </w:r>
          </w:p>
        </w:tc>
        <w:tc>
          <w:tcPr>
            <w:tcW w:w="280" w:type="dxa"/>
            <w:vAlign w:val="bottom"/>
          </w:tcPr>
          <w:p>
            <w:pPr>
              <w:spacing w:after="0"/>
              <w:rPr>
                <w:sz w:val="13"/>
                <w:szCs w:val="13"/>
                <w:color w:val="auto"/>
              </w:rPr>
            </w:pPr>
          </w:p>
        </w:tc>
        <w:tc>
          <w:tcPr>
            <w:tcW w:w="1220" w:type="dxa"/>
            <w:vAlign w:val="bottom"/>
            <w:gridSpan w:val="3"/>
          </w:tcPr>
          <w:p>
            <w:pPr>
              <w:jc w:val="center"/>
              <w:ind w:left="880"/>
              <w:spacing w:after="0"/>
              <w:rPr>
                <w:sz w:val="20"/>
                <w:szCs w:val="20"/>
                <w:color w:val="auto"/>
              </w:rPr>
            </w:pPr>
            <w:r>
              <w:rPr>
                <w:rFonts w:ascii="Times New Roman" w:cs="Times New Roman" w:eastAsia="Times New Roman" w:hAnsi="Times New Roman"/>
                <w:sz w:val="12"/>
                <w:szCs w:val="12"/>
                <w:color w:val="auto"/>
                <w:w w:val="96"/>
              </w:rPr>
              <w:t>(0.05)</w:t>
            </w:r>
          </w:p>
        </w:tc>
        <w:tc>
          <w:tcPr>
            <w:tcW w:w="0" w:type="dxa"/>
            <w:vAlign w:val="bottom"/>
          </w:tcPr>
          <w:p>
            <w:pPr>
              <w:spacing w:after="0"/>
              <w:rPr>
                <w:sz w:val="1"/>
                <w:szCs w:val="1"/>
                <w:color w:val="auto"/>
              </w:rPr>
            </w:pPr>
          </w:p>
        </w:tc>
      </w:tr>
      <w:tr>
        <w:trPr>
          <w:trHeight w:val="144"/>
        </w:trPr>
        <w:tc>
          <w:tcPr>
            <w:tcW w:w="7340" w:type="dxa"/>
            <w:vAlign w:val="bottom"/>
          </w:tcPr>
          <w:p>
            <w:pPr>
              <w:spacing w:after="0"/>
              <w:rPr>
                <w:sz w:val="20"/>
                <w:szCs w:val="20"/>
                <w:color w:val="auto"/>
              </w:rPr>
            </w:pPr>
            <w:r>
              <w:rPr>
                <w:rFonts w:ascii="Times New Roman" w:cs="Times New Roman" w:eastAsia="Times New Roman" w:hAnsi="Times New Roman"/>
                <w:sz w:val="12"/>
                <w:szCs w:val="12"/>
                <w:color w:val="auto"/>
              </w:rPr>
              <w:t>At the natural gas distribution segment, higher revenues and lower non-tracked O&amp;M, partially offset by higher depreciation, interest and share</w:t>
            </w:r>
          </w:p>
        </w:tc>
        <w:tc>
          <w:tcPr>
            <w:tcW w:w="1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7340" w:type="dxa"/>
            <w:vAlign w:val="bottom"/>
          </w:tcPr>
          <w:p>
            <w:pPr>
              <w:spacing w:after="0"/>
              <w:rPr>
                <w:sz w:val="20"/>
                <w:szCs w:val="20"/>
                <w:color w:val="auto"/>
              </w:rPr>
            </w:pPr>
            <w:r>
              <w:rPr>
                <w:rFonts w:ascii="Times New Roman" w:cs="Times New Roman" w:eastAsia="Times New Roman" w:hAnsi="Times New Roman"/>
                <w:sz w:val="12"/>
                <w:szCs w:val="12"/>
                <w:color w:val="auto"/>
              </w:rPr>
              <w:t>dilution</w:t>
            </w:r>
          </w:p>
        </w:tc>
        <w:tc>
          <w:tcPr>
            <w:tcW w:w="1200" w:type="dxa"/>
            <w:vAlign w:val="bottom"/>
          </w:tcPr>
          <w:p>
            <w:pPr>
              <w:spacing w:after="0"/>
              <w:rPr>
                <w:sz w:val="13"/>
                <w:szCs w:val="13"/>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0.05</w:t>
            </w:r>
          </w:p>
        </w:tc>
        <w:tc>
          <w:tcPr>
            <w:tcW w:w="280" w:type="dxa"/>
            <w:vAlign w:val="bottom"/>
          </w:tcPr>
          <w:p>
            <w:pPr>
              <w:spacing w:after="0"/>
              <w:rPr>
                <w:sz w:val="13"/>
                <w:szCs w:val="13"/>
                <w:color w:val="auto"/>
              </w:rPr>
            </w:pPr>
          </w:p>
        </w:tc>
        <w:tc>
          <w:tcPr>
            <w:tcW w:w="1200" w:type="dxa"/>
            <w:vAlign w:val="bottom"/>
            <w:gridSpan w:val="2"/>
          </w:tcPr>
          <w:p>
            <w:pPr>
              <w:jc w:val="center"/>
              <w:ind w:left="900"/>
              <w:spacing w:after="0"/>
              <w:rPr>
                <w:sz w:val="20"/>
                <w:szCs w:val="20"/>
                <w:color w:val="auto"/>
              </w:rPr>
            </w:pPr>
            <w:r>
              <w:rPr>
                <w:rFonts w:ascii="Times New Roman" w:cs="Times New Roman" w:eastAsia="Times New Roman" w:hAnsi="Times New Roman"/>
                <w:sz w:val="12"/>
                <w:szCs w:val="12"/>
                <w:color w:val="auto"/>
                <w:w w:val="95"/>
              </w:rPr>
              <w:t>0.09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340" w:type="dxa"/>
            <w:vAlign w:val="bottom"/>
          </w:tcPr>
          <w:p>
            <w:pPr>
              <w:spacing w:after="0"/>
              <w:rPr>
                <w:sz w:val="20"/>
                <w:szCs w:val="20"/>
                <w:color w:val="auto"/>
              </w:rPr>
            </w:pPr>
            <w:r>
              <w:rPr>
                <w:rFonts w:ascii="Times New Roman" w:cs="Times New Roman" w:eastAsia="Times New Roman" w:hAnsi="Times New Roman"/>
                <w:sz w:val="12"/>
                <w:szCs w:val="12"/>
                <w:color w:val="auto"/>
              </w:rPr>
              <w:t>At the water distribution segment, higher interest and non-tracked O&amp;M, partially offset by adjustments related to the Connecticut rate case</w:t>
            </w:r>
          </w:p>
        </w:tc>
        <w:tc>
          <w:tcPr>
            <w:tcW w:w="1200" w:type="dxa"/>
            <w:vAlign w:val="bottom"/>
          </w:tcPr>
          <w:p>
            <w:pPr>
              <w:spacing w:after="0"/>
              <w:rPr>
                <w:sz w:val="13"/>
                <w:szCs w:val="13"/>
                <w:color w:val="auto"/>
              </w:rPr>
            </w:pP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(0.01)</w:t>
            </w:r>
          </w:p>
        </w:tc>
        <w:tc>
          <w:tcPr>
            <w:tcW w:w="280" w:type="dxa"/>
            <w:vAlign w:val="bottom"/>
          </w:tcPr>
          <w:p>
            <w:pPr>
              <w:spacing w:after="0"/>
              <w:rPr>
                <w:sz w:val="13"/>
                <w:szCs w:val="13"/>
                <w:color w:val="auto"/>
              </w:rPr>
            </w:pPr>
          </w:p>
        </w:tc>
        <w:tc>
          <w:tcPr>
            <w:tcW w:w="1200" w:type="dxa"/>
            <w:vAlign w:val="bottom"/>
            <w:gridSpan w:val="2"/>
          </w:tcPr>
          <w:p>
            <w:pPr>
              <w:jc w:val="center"/>
              <w:ind w:left="900"/>
              <w:spacing w:after="0"/>
              <w:rPr>
                <w:sz w:val="20"/>
                <w:szCs w:val="20"/>
                <w:color w:val="auto"/>
              </w:rPr>
            </w:pPr>
            <w:r>
              <w:rPr>
                <w:rFonts w:ascii="Times New Roman" w:cs="Times New Roman" w:eastAsia="Times New Roman" w:hAnsi="Times New Roman"/>
                <w:sz w:val="12"/>
                <w:szCs w:val="12"/>
                <w:color w:val="auto"/>
                <w:w w:val="95"/>
              </w:rPr>
              <w:t>0.01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340" w:type="dxa"/>
            <w:vAlign w:val="bottom"/>
          </w:tcPr>
          <w:p>
            <w:pPr>
              <w:spacing w:after="0"/>
              <w:rPr>
                <w:sz w:val="20"/>
                <w:szCs w:val="20"/>
                <w:color w:val="auto"/>
              </w:rPr>
            </w:pPr>
            <w:r>
              <w:rPr>
                <w:rFonts w:ascii="Times New Roman" w:cs="Times New Roman" w:eastAsia="Times New Roman" w:hAnsi="Times New Roman"/>
                <w:sz w:val="12"/>
                <w:szCs w:val="12"/>
                <w:color w:val="auto"/>
              </w:rPr>
              <w:t>At parent and other companies, higher interest</w:t>
            </w:r>
          </w:p>
        </w:tc>
        <w:tc>
          <w:tcPr>
            <w:tcW w:w="1200" w:type="dxa"/>
            <w:vAlign w:val="bottom"/>
          </w:tcPr>
          <w:p>
            <w:pPr>
              <w:spacing w:after="0"/>
              <w:rPr>
                <w:sz w:val="13"/>
                <w:szCs w:val="13"/>
                <w:color w:val="auto"/>
              </w:rPr>
            </w:pP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(0.12)</w:t>
            </w:r>
          </w:p>
        </w:tc>
        <w:tc>
          <w:tcPr>
            <w:tcW w:w="280" w:type="dxa"/>
            <w:vAlign w:val="bottom"/>
          </w:tcPr>
          <w:p>
            <w:pPr>
              <w:spacing w:after="0"/>
              <w:rPr>
                <w:sz w:val="13"/>
                <w:szCs w:val="13"/>
                <w:color w:val="auto"/>
              </w:rPr>
            </w:pPr>
          </w:p>
        </w:tc>
        <w:tc>
          <w:tcPr>
            <w:tcW w:w="1220" w:type="dxa"/>
            <w:vAlign w:val="bottom"/>
            <w:gridSpan w:val="3"/>
          </w:tcPr>
          <w:p>
            <w:pPr>
              <w:jc w:val="center"/>
              <w:ind w:left="880"/>
              <w:spacing w:after="0"/>
              <w:rPr>
                <w:sz w:val="20"/>
                <w:szCs w:val="20"/>
                <w:color w:val="auto"/>
              </w:rPr>
            </w:pPr>
            <w:r>
              <w:rPr>
                <w:rFonts w:ascii="Times New Roman" w:cs="Times New Roman" w:eastAsia="Times New Roman" w:hAnsi="Times New Roman"/>
                <w:sz w:val="12"/>
                <w:szCs w:val="12"/>
                <w:color w:val="auto"/>
                <w:w w:val="96"/>
              </w:rPr>
              <w:t>(0.17)</w:t>
            </w:r>
          </w:p>
        </w:tc>
        <w:tc>
          <w:tcPr>
            <w:tcW w:w="0" w:type="dxa"/>
            <w:vAlign w:val="bottom"/>
          </w:tcPr>
          <w:p>
            <w:pPr>
              <w:spacing w:after="0"/>
              <w:rPr>
                <w:sz w:val="1"/>
                <w:szCs w:val="1"/>
                <w:color w:val="auto"/>
              </w:rPr>
            </w:pPr>
          </w:p>
        </w:tc>
      </w:tr>
      <w:tr>
        <w:trPr>
          <w:trHeight w:val="164"/>
        </w:trPr>
        <w:tc>
          <w:tcPr>
            <w:tcW w:w="7340" w:type="dxa"/>
            <w:vAlign w:val="bottom"/>
          </w:tcPr>
          <w:p>
            <w:pPr>
              <w:spacing w:after="0"/>
              <w:rPr>
                <w:sz w:val="20"/>
                <w:szCs w:val="20"/>
                <w:color w:val="auto"/>
              </w:rPr>
            </w:pPr>
            <w:r>
              <w:rPr>
                <w:rFonts w:ascii="Times New Roman" w:cs="Times New Roman" w:eastAsia="Times New Roman" w:hAnsi="Times New Roman"/>
                <w:sz w:val="12"/>
                <w:szCs w:val="12"/>
                <w:color w:val="auto"/>
              </w:rPr>
              <w:t>Absence of prior year impairment of offshore wind investment, and other prior year charges</w:t>
            </w:r>
          </w:p>
        </w:tc>
        <w:tc>
          <w:tcPr>
            <w:tcW w:w="1200" w:type="dxa"/>
            <w:vAlign w:val="bottom"/>
          </w:tcPr>
          <w:p>
            <w:pPr>
              <w:spacing w:after="0"/>
              <w:rPr>
                <w:sz w:val="14"/>
                <w:szCs w:val="14"/>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0.96</w:t>
            </w:r>
          </w:p>
        </w:tc>
        <w:tc>
          <w:tcPr>
            <w:tcW w:w="280" w:type="dxa"/>
            <w:vAlign w:val="bottom"/>
          </w:tcPr>
          <w:p>
            <w:pPr>
              <w:spacing w:after="0"/>
              <w:rPr>
                <w:sz w:val="14"/>
                <w:szCs w:val="14"/>
                <w:color w:val="auto"/>
              </w:rPr>
            </w:pPr>
          </w:p>
        </w:tc>
        <w:tc>
          <w:tcPr>
            <w:tcW w:w="1200" w:type="dxa"/>
            <w:vAlign w:val="bottom"/>
            <w:gridSpan w:val="2"/>
          </w:tcPr>
          <w:p>
            <w:pPr>
              <w:jc w:val="center"/>
              <w:ind w:left="900"/>
              <w:spacing w:after="0"/>
              <w:rPr>
                <w:sz w:val="20"/>
                <w:szCs w:val="20"/>
                <w:color w:val="auto"/>
              </w:rPr>
            </w:pPr>
            <w:r>
              <w:rPr>
                <w:rFonts w:ascii="Times New Roman" w:cs="Times New Roman" w:eastAsia="Times New Roman" w:hAnsi="Times New Roman"/>
                <w:sz w:val="12"/>
                <w:szCs w:val="12"/>
                <w:color w:val="auto"/>
                <w:w w:val="95"/>
              </w:rPr>
              <w:t>0.96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3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Reported GAAP EPS</w:t>
            </w:r>
          </w:p>
        </w:tc>
        <w:tc>
          <w:tcPr>
            <w:tcW w:w="1200" w:type="dxa"/>
            <w:vAlign w:val="bottom"/>
            <w:tcBorders>
              <w:top w:val="single" w:sz="8" w:color="auto"/>
              <w:bottom w:val="single" w:sz="8" w:color="auto"/>
            </w:tcBorders>
          </w:tcPr>
          <w:p>
            <w:pPr>
              <w:jc w:val="right"/>
              <w:ind w:right="108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0.95</w:t>
            </w:r>
          </w:p>
        </w:tc>
        <w:tc>
          <w:tcPr>
            <w:tcW w:w="220" w:type="dxa"/>
            <w:vAlign w:val="bottom"/>
          </w:tcPr>
          <w:p>
            <w:pPr>
              <w:spacing w:after="0"/>
              <w:rPr>
                <w:sz w:val="12"/>
                <w:szCs w:val="12"/>
                <w:color w:val="auto"/>
              </w:rPr>
            </w:pPr>
          </w:p>
        </w:tc>
        <w:tc>
          <w:tcPr>
            <w:tcW w:w="280" w:type="dxa"/>
            <w:vAlign w:val="bottom"/>
            <w:tcBorders>
              <w:top w:val="single" w:sz="8" w:color="auto"/>
              <w:bottom w:val="single" w:sz="8" w:color="auto"/>
            </w:tcBorders>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200" w:type="dxa"/>
            <w:vAlign w:val="bottom"/>
            <w:tcBorders>
              <w:top w:val="single" w:sz="8" w:color="auto"/>
              <w:bottom w:val="single" w:sz="8" w:color="auto"/>
            </w:tcBorders>
            <w:gridSpan w:val="2"/>
          </w:tcPr>
          <w:p>
            <w:pPr>
              <w:jc w:val="center"/>
              <w:ind w:left="900"/>
              <w:spacing w:after="0"/>
              <w:rPr>
                <w:sz w:val="20"/>
                <w:szCs w:val="20"/>
                <w:color w:val="auto"/>
              </w:rPr>
            </w:pPr>
            <w:r>
              <w:rPr>
                <w:rFonts w:ascii="Times New Roman" w:cs="Times New Roman" w:eastAsia="Times New Roman" w:hAnsi="Times New Roman"/>
                <w:sz w:val="12"/>
                <w:szCs w:val="12"/>
                <w:b w:val="1"/>
                <w:bCs w:val="1"/>
                <w:color w:val="auto"/>
                <w:w w:val="95"/>
              </w:rPr>
              <w:t>2.43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-982345</wp:posOffset>
            </wp:positionV>
            <wp:extent cx="7178040" cy="971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8040" cy="97155"/>
                    </a:xfrm>
                    <a:prstGeom prst="rect">
                      <a:avLst/>
                    </a:prstGeom>
                    <a:noFill/>
                  </pic:spPr>
                </pic:pic>
              </a:graphicData>
            </a:graphic>
          </wp:anchor>
        </w:drawing>
        <w:drawing>
          <wp:anchor simplePos="0" relativeHeight="251657728" behindDoc="1" locked="0" layoutInCell="0" allowOverlap="1">
            <wp:simplePos x="0" y="0"/>
            <wp:positionH relativeFrom="column">
              <wp:posOffset>-436245</wp:posOffset>
            </wp:positionH>
            <wp:positionV relativeFrom="paragraph">
              <wp:posOffset>-788035</wp:posOffset>
            </wp:positionV>
            <wp:extent cx="7178040" cy="1885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8040" cy="188595"/>
                    </a:xfrm>
                    <a:prstGeom prst="rect">
                      <a:avLst/>
                    </a:prstGeom>
                    <a:noFill/>
                  </pic:spPr>
                </pic:pic>
              </a:graphicData>
            </a:graphic>
          </wp:anchor>
        </w:drawing>
        <w:drawing>
          <wp:anchor simplePos="0" relativeHeight="251657728" behindDoc="1" locked="0" layoutInCell="0" allowOverlap="1">
            <wp:simplePos x="0" y="0"/>
            <wp:positionH relativeFrom="column">
              <wp:posOffset>-436245</wp:posOffset>
            </wp:positionH>
            <wp:positionV relativeFrom="paragraph">
              <wp:posOffset>-410845</wp:posOffset>
            </wp:positionV>
            <wp:extent cx="7178040" cy="971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8040" cy="97155"/>
                    </a:xfrm>
                    <a:prstGeom prst="rect">
                      <a:avLst/>
                    </a:prstGeom>
                    <a:noFill/>
                  </pic:spPr>
                </pic:pic>
              </a:graphicData>
            </a:graphic>
          </wp:anchor>
        </w:drawing>
        <w:drawing>
          <wp:anchor simplePos="0" relativeHeight="251657728" behindDoc="1" locked="0" layoutInCell="0" allowOverlap="1">
            <wp:simplePos x="0" y="0"/>
            <wp:positionH relativeFrom="column">
              <wp:posOffset>-436245</wp:posOffset>
            </wp:positionH>
            <wp:positionV relativeFrom="paragraph">
              <wp:posOffset>-216535</wp:posOffset>
            </wp:positionV>
            <wp:extent cx="7178040" cy="971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8040" cy="97155"/>
                    </a:xfrm>
                    <a:prstGeom prst="rect">
                      <a:avLst/>
                    </a:prstGeom>
                    <a:noFill/>
                  </pic:spPr>
                </pic:pic>
              </a:graphicData>
            </a:graphic>
          </wp:anchor>
        </w:drawing>
        <w:drawing>
          <wp:anchor simplePos="0" relativeHeight="251657728" behindDoc="1" locked="0" layoutInCell="0" allowOverlap="1">
            <wp:simplePos x="0" y="0"/>
            <wp:positionH relativeFrom="column">
              <wp:posOffset>-436245</wp:posOffset>
            </wp:positionH>
            <wp:positionV relativeFrom="paragraph">
              <wp:posOffset>285750</wp:posOffset>
            </wp:positionV>
            <wp:extent cx="7178040"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2">
            <w:col w:w="560" w:space="120"/>
            <w:col w:w="10540"/>
          </w:cols>
          <w:pgMar w:left="300" w:top="647" w:right="37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2"/>
          <w:szCs w:val="12"/>
          <w:color w:val="auto"/>
        </w:rPr>
        <w:t>Financial results for the second quarter and first half of 2024 and 2023 for Eversource Energy’s business segments and parent and other companies are noted below: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0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Three months ended:</w:t>
            </w: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3"/>
        </w:trPr>
        <w:tc>
          <w:tcPr>
            <w:tcW w:w="3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gridSpan w:val="2"/>
          </w:tcPr>
          <w:p>
            <w:pPr>
              <w:jc w:val="right"/>
              <w:ind w:right="600"/>
              <w:spacing w:after="0"/>
              <w:rPr>
                <w:sz w:val="20"/>
                <w:szCs w:val="20"/>
                <w:color w:val="auto"/>
              </w:rPr>
            </w:pPr>
            <w:r>
              <w:rPr>
                <w:rFonts w:ascii="Times New Roman" w:cs="Times New Roman" w:eastAsia="Times New Roman" w:hAnsi="Times New Roman"/>
                <w:sz w:val="12"/>
                <w:szCs w:val="12"/>
                <w:b w:val="1"/>
                <w:bCs w:val="1"/>
                <w:color w:val="auto"/>
              </w:rPr>
              <w:t>Increase/</w:t>
            </w: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gridSpan w:val="3"/>
            <w:vMerge w:val="restart"/>
          </w:tcPr>
          <w:p>
            <w:pPr>
              <w:ind w:left="120"/>
              <w:spacing w:after="0"/>
              <w:rPr>
                <w:sz w:val="20"/>
                <w:szCs w:val="20"/>
                <w:color w:val="auto"/>
              </w:rPr>
            </w:pPr>
            <w:r>
              <w:rPr>
                <w:rFonts w:ascii="Times New Roman" w:cs="Times New Roman" w:eastAsia="Times New Roman" w:hAnsi="Times New Roman"/>
                <w:sz w:val="12"/>
                <w:szCs w:val="12"/>
                <w:b w:val="1"/>
                <w:bCs w:val="1"/>
                <w:color w:val="auto"/>
              </w:rPr>
              <w:t xml:space="preserve">2023 EPS </w:t>
            </w:r>
            <w:r>
              <w:rPr>
                <w:rFonts w:ascii="Times New Roman" w:cs="Times New Roman" w:eastAsia="Times New Roman" w:hAnsi="Times New Roman"/>
                <w:sz w:val="19"/>
                <w:szCs w:val="19"/>
                <w:b w:val="1"/>
                <w:bCs w:val="1"/>
                <w:color w:val="auto"/>
                <w:vertAlign w:val="superscript"/>
              </w:rPr>
              <w:t>1</w:t>
            </w:r>
          </w:p>
        </w:tc>
        <w:tc>
          <w:tcPr>
            <w:tcW w:w="0" w:type="dxa"/>
            <w:vAlign w:val="bottom"/>
          </w:tcPr>
          <w:p>
            <w:pPr>
              <w:spacing w:after="0"/>
              <w:rPr>
                <w:sz w:val="1"/>
                <w:szCs w:val="1"/>
                <w:color w:val="auto"/>
              </w:rPr>
            </w:pPr>
          </w:p>
        </w:tc>
      </w:tr>
      <w:tr>
        <w:trPr>
          <w:trHeight w:val="159"/>
        </w:trPr>
        <w:tc>
          <w:tcPr>
            <w:tcW w:w="4060" w:type="dxa"/>
            <w:vAlign w:val="bottom"/>
            <w:gridSpan w:val="2"/>
          </w:tcPr>
          <w:p>
            <w:pPr>
              <w:spacing w:after="0"/>
              <w:rPr>
                <w:sz w:val="20"/>
                <w:szCs w:val="20"/>
                <w:color w:val="auto"/>
              </w:rPr>
            </w:pPr>
            <w:r>
              <w:rPr>
                <w:rFonts w:ascii="Times New Roman" w:cs="Times New Roman" w:eastAsia="Times New Roman" w:hAnsi="Times New Roman"/>
                <w:sz w:val="12"/>
                <w:szCs w:val="12"/>
                <w:i w:val="1"/>
                <w:iCs w:val="1"/>
                <w:color w:val="auto"/>
              </w:rPr>
              <w:t>(in millions, except EPS)</w:t>
            </w:r>
          </w:p>
        </w:tc>
        <w:tc>
          <w:tcPr>
            <w:tcW w:w="180" w:type="dxa"/>
            <w:vAlign w:val="bottom"/>
          </w:tcPr>
          <w:p>
            <w:pPr>
              <w:spacing w:after="0"/>
              <w:rPr>
                <w:sz w:val="13"/>
                <w:szCs w:val="13"/>
                <w:color w:val="auto"/>
              </w:rPr>
            </w:pPr>
          </w:p>
        </w:tc>
        <w:tc>
          <w:tcPr>
            <w:tcW w:w="1320" w:type="dxa"/>
            <w:vAlign w:val="bottom"/>
            <w:gridSpan w:val="2"/>
          </w:tcPr>
          <w:p>
            <w:pPr>
              <w:jc w:val="right"/>
              <w:ind w:right="520"/>
              <w:spacing w:after="0"/>
              <w:rPr>
                <w:sz w:val="20"/>
                <w:szCs w:val="20"/>
                <w:color w:val="auto"/>
              </w:rPr>
            </w:pPr>
            <w:r>
              <w:rPr>
                <w:rFonts w:ascii="Times New Roman" w:cs="Times New Roman" w:eastAsia="Times New Roman" w:hAnsi="Times New Roman"/>
                <w:sz w:val="12"/>
                <w:szCs w:val="12"/>
                <w:b w:val="1"/>
                <w:bCs w:val="1"/>
                <w:color w:val="auto"/>
              </w:rPr>
              <w:t>June 30, 2024</w:t>
            </w:r>
          </w:p>
        </w:tc>
        <w:tc>
          <w:tcPr>
            <w:tcW w:w="160" w:type="dxa"/>
            <w:vAlign w:val="bottom"/>
          </w:tcPr>
          <w:p>
            <w:pPr>
              <w:spacing w:after="0"/>
              <w:rPr>
                <w:sz w:val="13"/>
                <w:szCs w:val="13"/>
                <w:color w:val="auto"/>
              </w:rPr>
            </w:pPr>
          </w:p>
        </w:tc>
        <w:tc>
          <w:tcPr>
            <w:tcW w:w="1320" w:type="dxa"/>
            <w:vAlign w:val="bottom"/>
            <w:gridSpan w:val="2"/>
          </w:tcPr>
          <w:p>
            <w:pPr>
              <w:jc w:val="right"/>
              <w:ind w:right="520"/>
              <w:spacing w:after="0"/>
              <w:rPr>
                <w:sz w:val="20"/>
                <w:szCs w:val="20"/>
                <w:color w:val="auto"/>
              </w:rPr>
            </w:pPr>
            <w:r>
              <w:rPr>
                <w:rFonts w:ascii="Times New Roman" w:cs="Times New Roman" w:eastAsia="Times New Roman" w:hAnsi="Times New Roman"/>
                <w:sz w:val="12"/>
                <w:szCs w:val="12"/>
                <w:b w:val="1"/>
                <w:bCs w:val="1"/>
                <w:color w:val="auto"/>
              </w:rPr>
              <w:t>June 30, 2023</w:t>
            </w:r>
          </w:p>
        </w:tc>
        <w:tc>
          <w:tcPr>
            <w:tcW w:w="200" w:type="dxa"/>
            <w:vAlign w:val="bottom"/>
          </w:tcPr>
          <w:p>
            <w:pPr>
              <w:spacing w:after="0"/>
              <w:rPr>
                <w:sz w:val="13"/>
                <w:szCs w:val="13"/>
                <w:color w:val="auto"/>
              </w:rPr>
            </w:pPr>
          </w:p>
        </w:tc>
        <w:tc>
          <w:tcPr>
            <w:tcW w:w="1260" w:type="dxa"/>
            <w:vAlign w:val="bottom"/>
            <w:gridSpan w:val="2"/>
          </w:tcPr>
          <w:p>
            <w:pPr>
              <w:jc w:val="right"/>
              <w:ind w:right="560"/>
              <w:spacing w:after="0"/>
              <w:rPr>
                <w:sz w:val="20"/>
                <w:szCs w:val="20"/>
                <w:color w:val="auto"/>
              </w:rPr>
            </w:pPr>
            <w:r>
              <w:rPr>
                <w:rFonts w:ascii="Times New Roman" w:cs="Times New Roman" w:eastAsia="Times New Roman" w:hAnsi="Times New Roman"/>
                <w:sz w:val="12"/>
                <w:szCs w:val="12"/>
                <w:b w:val="1"/>
                <w:bCs w:val="1"/>
                <w:color w:val="auto"/>
              </w:rPr>
              <w:t>(Decrease)</w:t>
            </w:r>
          </w:p>
        </w:tc>
        <w:tc>
          <w:tcPr>
            <w:tcW w:w="220" w:type="dxa"/>
            <w:vAlign w:val="bottom"/>
          </w:tcPr>
          <w:p>
            <w:pPr>
              <w:spacing w:after="0"/>
              <w:rPr>
                <w:sz w:val="13"/>
                <w:szCs w:val="13"/>
                <w:color w:val="auto"/>
              </w:rPr>
            </w:pPr>
          </w:p>
        </w:tc>
        <w:tc>
          <w:tcPr>
            <w:tcW w:w="1240" w:type="dxa"/>
            <w:vAlign w:val="bottom"/>
            <w:gridSpan w:val="2"/>
          </w:tcPr>
          <w:p>
            <w:pPr>
              <w:jc w:val="right"/>
              <w:ind w:right="600"/>
              <w:spacing w:after="0"/>
              <w:rPr>
                <w:sz w:val="20"/>
                <w:szCs w:val="20"/>
                <w:color w:val="auto"/>
              </w:rPr>
            </w:pPr>
            <w:r>
              <w:rPr>
                <w:rFonts w:ascii="Times New Roman" w:cs="Times New Roman" w:eastAsia="Times New Roman" w:hAnsi="Times New Roman"/>
                <w:sz w:val="12"/>
                <w:szCs w:val="12"/>
                <w:b w:val="1"/>
                <w:bCs w:val="1"/>
                <w:color w:val="auto"/>
              </w:rPr>
              <w:t>2024 EPS</w:t>
            </w:r>
          </w:p>
        </w:tc>
        <w:tc>
          <w:tcPr>
            <w:tcW w:w="200" w:type="dxa"/>
            <w:vAlign w:val="bottom"/>
          </w:tcPr>
          <w:p>
            <w:pPr>
              <w:spacing w:after="0"/>
              <w:rPr>
                <w:sz w:val="13"/>
                <w:szCs w:val="13"/>
                <w:color w:val="auto"/>
              </w:rPr>
            </w:pPr>
          </w:p>
        </w:tc>
        <w:tc>
          <w:tcPr>
            <w:tcW w:w="114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9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Electric Transmission</w:t>
            </w: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189.0</w:t>
            </w:r>
          </w:p>
        </w:tc>
        <w:tc>
          <w:tcPr>
            <w:tcW w:w="2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161.0</w:t>
            </w:r>
          </w:p>
        </w:tc>
        <w:tc>
          <w:tcPr>
            <w:tcW w:w="2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28.0</w:t>
            </w:r>
          </w:p>
        </w:tc>
        <w:tc>
          <w:tcPr>
            <w:tcW w:w="2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0.54</w:t>
            </w:r>
          </w:p>
        </w:tc>
        <w:tc>
          <w:tcPr>
            <w:tcW w:w="2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tcBorders>
            <w:shd w:val="clear" w:color="auto" w:fill="CCEEFF"/>
          </w:tcPr>
          <w:p>
            <w:pPr>
              <w:jc w:val="center"/>
              <w:ind w:left="760"/>
              <w:spacing w:after="0"/>
              <w:rPr>
                <w:sz w:val="20"/>
                <w:szCs w:val="20"/>
                <w:color w:val="auto"/>
              </w:rPr>
            </w:pPr>
            <w:r>
              <w:rPr>
                <w:rFonts w:ascii="Times New Roman" w:cs="Times New Roman" w:eastAsia="Times New Roman" w:hAnsi="Times New Roman"/>
                <w:sz w:val="12"/>
                <w:szCs w:val="12"/>
                <w:color w:val="auto"/>
                <w:w w:val="95"/>
              </w:rPr>
              <w:t>0.46</w:t>
            </w: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0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Electric Distribution</w:t>
            </w:r>
          </w:p>
        </w:tc>
        <w:tc>
          <w:tcPr>
            <w:tcW w:w="180" w:type="dxa"/>
            <w:vAlign w:val="bottom"/>
          </w:tcPr>
          <w:p>
            <w:pPr>
              <w:spacing w:after="0"/>
              <w:rPr>
                <w:sz w:val="13"/>
                <w:szCs w:val="13"/>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149.7</w:t>
            </w:r>
          </w:p>
        </w:tc>
        <w:tc>
          <w:tcPr>
            <w:tcW w:w="160" w:type="dxa"/>
            <w:vAlign w:val="bottom"/>
          </w:tcPr>
          <w:p>
            <w:pPr>
              <w:spacing w:after="0"/>
              <w:rPr>
                <w:sz w:val="13"/>
                <w:szCs w:val="13"/>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165.5</w:t>
            </w:r>
          </w:p>
        </w:tc>
        <w:tc>
          <w:tcPr>
            <w:tcW w:w="200" w:type="dxa"/>
            <w:vAlign w:val="bottom"/>
          </w:tcPr>
          <w:p>
            <w:pPr>
              <w:spacing w:after="0"/>
              <w:rPr>
                <w:sz w:val="13"/>
                <w:szCs w:val="13"/>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(15.8)</w:t>
            </w:r>
          </w:p>
        </w:tc>
        <w:tc>
          <w:tcPr>
            <w:tcW w:w="220" w:type="dxa"/>
            <w:vAlign w:val="bottom"/>
          </w:tcPr>
          <w:p>
            <w:pPr>
              <w:spacing w:after="0"/>
              <w:rPr>
                <w:sz w:val="13"/>
                <w:szCs w:val="13"/>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0.42</w:t>
            </w:r>
          </w:p>
        </w:tc>
        <w:tc>
          <w:tcPr>
            <w:tcW w:w="200" w:type="dxa"/>
            <w:vAlign w:val="bottom"/>
          </w:tcPr>
          <w:p>
            <w:pPr>
              <w:spacing w:after="0"/>
              <w:rPr>
                <w:sz w:val="13"/>
                <w:szCs w:val="13"/>
                <w:color w:val="auto"/>
              </w:rPr>
            </w:pPr>
          </w:p>
        </w:tc>
        <w:tc>
          <w:tcPr>
            <w:tcW w:w="1040" w:type="dxa"/>
            <w:vAlign w:val="bottom"/>
            <w:gridSpan w:val="2"/>
          </w:tcPr>
          <w:p>
            <w:pPr>
              <w:jc w:val="center"/>
              <w:ind w:left="740"/>
              <w:spacing w:after="0"/>
              <w:rPr>
                <w:sz w:val="20"/>
                <w:szCs w:val="20"/>
                <w:color w:val="auto"/>
              </w:rPr>
            </w:pPr>
            <w:r>
              <w:rPr>
                <w:rFonts w:ascii="Times New Roman" w:cs="Times New Roman" w:eastAsia="Times New Roman" w:hAnsi="Times New Roman"/>
                <w:sz w:val="12"/>
                <w:szCs w:val="12"/>
                <w:color w:val="auto"/>
                <w:w w:val="95"/>
              </w:rPr>
              <w:t>0.47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Natural Gas Distribution</w:t>
            </w:r>
          </w:p>
        </w:tc>
        <w:tc>
          <w:tcPr>
            <w:tcW w:w="18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27.1</w:t>
            </w:r>
          </w:p>
        </w:tc>
        <w:tc>
          <w:tcPr>
            <w:tcW w:w="16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11.7</w:t>
            </w:r>
          </w:p>
        </w:tc>
        <w:tc>
          <w:tcPr>
            <w:tcW w:w="20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15.4</w:t>
            </w:r>
          </w:p>
        </w:tc>
        <w:tc>
          <w:tcPr>
            <w:tcW w:w="22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0.08</w:t>
            </w:r>
          </w:p>
        </w:tc>
        <w:tc>
          <w:tcPr>
            <w:tcW w:w="20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center"/>
              <w:ind w:left="740"/>
              <w:spacing w:after="0"/>
              <w:rPr>
                <w:sz w:val="20"/>
                <w:szCs w:val="20"/>
                <w:color w:val="auto"/>
              </w:rPr>
            </w:pPr>
            <w:r>
              <w:rPr>
                <w:rFonts w:ascii="Times New Roman" w:cs="Times New Roman" w:eastAsia="Times New Roman" w:hAnsi="Times New Roman"/>
                <w:sz w:val="12"/>
                <w:szCs w:val="12"/>
                <w:color w:val="auto"/>
                <w:w w:val="95"/>
              </w:rPr>
              <w:t>0.03</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0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Water Distribution</w:t>
            </w:r>
          </w:p>
        </w:tc>
        <w:tc>
          <w:tcPr>
            <w:tcW w:w="180" w:type="dxa"/>
            <w:vAlign w:val="bottom"/>
          </w:tcPr>
          <w:p>
            <w:pPr>
              <w:spacing w:after="0"/>
              <w:rPr>
                <w:sz w:val="13"/>
                <w:szCs w:val="13"/>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8.0</w:t>
            </w:r>
          </w:p>
        </w:tc>
        <w:tc>
          <w:tcPr>
            <w:tcW w:w="160" w:type="dxa"/>
            <w:vAlign w:val="bottom"/>
          </w:tcPr>
          <w:p>
            <w:pPr>
              <w:spacing w:after="0"/>
              <w:rPr>
                <w:sz w:val="13"/>
                <w:szCs w:val="13"/>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9.3</w:t>
            </w:r>
          </w:p>
        </w:tc>
        <w:tc>
          <w:tcPr>
            <w:tcW w:w="200" w:type="dxa"/>
            <w:vAlign w:val="bottom"/>
          </w:tcPr>
          <w:p>
            <w:pPr>
              <w:spacing w:after="0"/>
              <w:rPr>
                <w:sz w:val="13"/>
                <w:szCs w:val="13"/>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(1.3)</w:t>
            </w:r>
          </w:p>
        </w:tc>
        <w:tc>
          <w:tcPr>
            <w:tcW w:w="220" w:type="dxa"/>
            <w:vAlign w:val="bottom"/>
          </w:tcPr>
          <w:p>
            <w:pPr>
              <w:spacing w:after="0"/>
              <w:rPr>
                <w:sz w:val="13"/>
                <w:szCs w:val="13"/>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0.02</w:t>
            </w:r>
          </w:p>
        </w:tc>
        <w:tc>
          <w:tcPr>
            <w:tcW w:w="200" w:type="dxa"/>
            <w:vAlign w:val="bottom"/>
          </w:tcPr>
          <w:p>
            <w:pPr>
              <w:spacing w:after="0"/>
              <w:rPr>
                <w:sz w:val="13"/>
                <w:szCs w:val="13"/>
                <w:color w:val="auto"/>
              </w:rPr>
            </w:pPr>
          </w:p>
        </w:tc>
        <w:tc>
          <w:tcPr>
            <w:tcW w:w="1040" w:type="dxa"/>
            <w:vAlign w:val="bottom"/>
            <w:gridSpan w:val="2"/>
          </w:tcPr>
          <w:p>
            <w:pPr>
              <w:jc w:val="center"/>
              <w:ind w:left="740"/>
              <w:spacing w:after="0"/>
              <w:rPr>
                <w:sz w:val="20"/>
                <w:szCs w:val="20"/>
                <w:color w:val="auto"/>
              </w:rPr>
            </w:pPr>
            <w:r>
              <w:rPr>
                <w:rFonts w:ascii="Times New Roman" w:cs="Times New Roman" w:eastAsia="Times New Roman" w:hAnsi="Times New Roman"/>
                <w:sz w:val="12"/>
                <w:szCs w:val="12"/>
                <w:color w:val="auto"/>
                <w:w w:val="95"/>
              </w:rPr>
              <w:t>0.03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06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2"/>
                <w:szCs w:val="12"/>
                <w:color w:val="auto"/>
              </w:rPr>
              <w:t xml:space="preserve">Parent and Other Companies </w:t>
            </w:r>
            <w:r>
              <w:rPr>
                <w:rFonts w:ascii="Times New Roman" w:cs="Times New Roman" w:eastAsia="Times New Roman" w:hAnsi="Times New Roman"/>
                <w:sz w:val="19"/>
                <w:szCs w:val="19"/>
                <w:color w:val="auto"/>
                <w:vertAlign w:val="superscript"/>
              </w:rPr>
              <w:t>1</w:t>
            </w:r>
          </w:p>
        </w:tc>
        <w:tc>
          <w:tcPr>
            <w:tcW w:w="18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(38.5)</w:t>
            </w:r>
          </w:p>
        </w:tc>
        <w:tc>
          <w:tcPr>
            <w:tcW w:w="16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5.1</w:t>
            </w:r>
          </w:p>
        </w:tc>
        <w:tc>
          <w:tcPr>
            <w:tcW w:w="2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(43.6)</w:t>
            </w:r>
          </w:p>
        </w:tc>
        <w:tc>
          <w:tcPr>
            <w:tcW w:w="2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(0.11)</w:t>
            </w:r>
          </w:p>
        </w:tc>
        <w:tc>
          <w:tcPr>
            <w:tcW w:w="2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center"/>
              <w:ind w:left="740"/>
              <w:spacing w:after="0"/>
              <w:rPr>
                <w:sz w:val="20"/>
                <w:szCs w:val="20"/>
                <w:color w:val="auto"/>
              </w:rPr>
            </w:pPr>
            <w:r>
              <w:rPr>
                <w:rFonts w:ascii="Times New Roman" w:cs="Times New Roman" w:eastAsia="Times New Roman" w:hAnsi="Times New Roman"/>
                <w:sz w:val="12"/>
                <w:szCs w:val="12"/>
                <w:color w:val="auto"/>
                <w:w w:val="95"/>
              </w:rPr>
              <w:t>0.01</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40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Impairment of Offshore Wind Investment</w:t>
            </w:r>
          </w:p>
        </w:tc>
        <w:tc>
          <w:tcPr>
            <w:tcW w:w="180" w:type="dxa"/>
            <w:vAlign w:val="bottom"/>
          </w:tcPr>
          <w:p>
            <w:pPr>
              <w:spacing w:after="0"/>
              <w:rPr>
                <w:sz w:val="13"/>
                <w:szCs w:val="13"/>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(331.0)</w:t>
            </w:r>
          </w:p>
        </w:tc>
        <w:tc>
          <w:tcPr>
            <w:tcW w:w="200" w:type="dxa"/>
            <w:vAlign w:val="bottom"/>
          </w:tcPr>
          <w:p>
            <w:pPr>
              <w:spacing w:after="0"/>
              <w:rPr>
                <w:sz w:val="13"/>
                <w:szCs w:val="13"/>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331.0</w:t>
            </w:r>
          </w:p>
        </w:tc>
        <w:tc>
          <w:tcPr>
            <w:tcW w:w="220" w:type="dxa"/>
            <w:vAlign w:val="bottom"/>
          </w:tcPr>
          <w:p>
            <w:pPr>
              <w:spacing w:after="0"/>
              <w:rPr>
                <w:sz w:val="13"/>
                <w:szCs w:val="13"/>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1140" w:type="dxa"/>
            <w:vAlign w:val="bottom"/>
            <w:gridSpan w:val="3"/>
          </w:tcPr>
          <w:p>
            <w:pPr>
              <w:jc w:val="center"/>
              <w:ind w:left="640"/>
              <w:spacing w:after="0"/>
              <w:rPr>
                <w:sz w:val="20"/>
                <w:szCs w:val="20"/>
                <w:color w:val="auto"/>
              </w:rPr>
            </w:pPr>
            <w:r>
              <w:rPr>
                <w:rFonts w:ascii="Times New Roman" w:cs="Times New Roman" w:eastAsia="Times New Roman" w:hAnsi="Times New Roman"/>
                <w:sz w:val="12"/>
                <w:szCs w:val="12"/>
                <w:color w:val="auto"/>
                <w:w w:val="96"/>
              </w:rPr>
              <w:t>(0.95)</w:t>
            </w:r>
          </w:p>
        </w:tc>
        <w:tc>
          <w:tcPr>
            <w:tcW w:w="0" w:type="dxa"/>
            <w:vAlign w:val="bottom"/>
          </w:tcPr>
          <w:p>
            <w:pPr>
              <w:spacing w:after="0"/>
              <w:rPr>
                <w:sz w:val="1"/>
                <w:szCs w:val="1"/>
                <w:color w:val="auto"/>
              </w:rPr>
            </w:pPr>
          </w:p>
        </w:tc>
      </w:tr>
      <w:tr>
        <w:trPr>
          <w:trHeight w:val="153"/>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Transaction and other charges</w:t>
            </w:r>
          </w:p>
        </w:tc>
        <w:tc>
          <w:tcPr>
            <w:tcW w:w="18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(6.2)</w:t>
            </w:r>
          </w:p>
        </w:tc>
        <w:tc>
          <w:tcPr>
            <w:tcW w:w="20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6.2</w:t>
            </w:r>
          </w:p>
        </w:tc>
        <w:tc>
          <w:tcPr>
            <w:tcW w:w="22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3"/>
                <w:szCs w:val="13"/>
                <w:color w:val="auto"/>
              </w:rPr>
            </w:pPr>
          </w:p>
        </w:tc>
        <w:tc>
          <w:tcPr>
            <w:tcW w:w="1140" w:type="dxa"/>
            <w:vAlign w:val="bottom"/>
            <w:gridSpan w:val="3"/>
            <w:shd w:val="clear" w:color="auto" w:fill="CCEEFF"/>
          </w:tcPr>
          <w:p>
            <w:pPr>
              <w:jc w:val="center"/>
              <w:ind w:left="640"/>
              <w:spacing w:after="0"/>
              <w:rPr>
                <w:sz w:val="20"/>
                <w:szCs w:val="20"/>
                <w:color w:val="auto"/>
              </w:rPr>
            </w:pPr>
            <w:r>
              <w:rPr>
                <w:rFonts w:ascii="Times New Roman" w:cs="Times New Roman" w:eastAsia="Times New Roman" w:hAnsi="Times New Roman"/>
                <w:sz w:val="12"/>
                <w:szCs w:val="12"/>
                <w:color w:val="auto"/>
                <w:w w:val="96"/>
              </w:rPr>
              <w:t>(0.01)</w:t>
            </w:r>
          </w:p>
        </w:tc>
        <w:tc>
          <w:tcPr>
            <w:tcW w:w="0" w:type="dxa"/>
            <w:vAlign w:val="bottom"/>
          </w:tcPr>
          <w:p>
            <w:pPr>
              <w:spacing w:after="0"/>
              <w:rPr>
                <w:sz w:val="1"/>
                <w:szCs w:val="1"/>
                <w:color w:val="auto"/>
              </w:rPr>
            </w:pPr>
          </w:p>
        </w:tc>
      </w:tr>
      <w:tr>
        <w:trPr>
          <w:trHeight w:val="149"/>
        </w:trPr>
        <w:tc>
          <w:tcPr>
            <w:tcW w:w="40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Reported Earnings</w:t>
            </w:r>
          </w:p>
        </w:tc>
        <w:tc>
          <w:tcPr>
            <w:tcW w:w="180" w:type="dxa"/>
            <w:vAlign w:val="bottom"/>
            <w:tcBorders>
              <w:top w:val="single" w:sz="8" w:color="auto"/>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335.3</w:t>
            </w:r>
          </w:p>
        </w:tc>
        <w:tc>
          <w:tcPr>
            <w:tcW w:w="240" w:type="dxa"/>
            <w:vAlign w:val="bottom"/>
          </w:tcPr>
          <w:p>
            <w:pPr>
              <w:spacing w:after="0"/>
              <w:rPr>
                <w:sz w:val="12"/>
                <w:szCs w:val="12"/>
                <w:color w:val="auto"/>
              </w:rPr>
            </w:pPr>
          </w:p>
        </w:tc>
        <w:tc>
          <w:tcPr>
            <w:tcW w:w="160" w:type="dxa"/>
            <w:vAlign w:val="bottom"/>
            <w:tcBorders>
              <w:top w:val="single" w:sz="8" w:color="auto"/>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15.4</w:t>
            </w:r>
          </w:p>
        </w:tc>
        <w:tc>
          <w:tcPr>
            <w:tcW w:w="24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319.9</w:t>
            </w:r>
          </w:p>
        </w:tc>
        <w:tc>
          <w:tcPr>
            <w:tcW w:w="22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0.95</w:t>
            </w:r>
          </w:p>
        </w:tc>
        <w:tc>
          <w:tcPr>
            <w:tcW w:w="22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20" w:type="dxa"/>
            <w:vAlign w:val="bottom"/>
            <w:tcBorders>
              <w:top w:val="single" w:sz="8" w:color="auto"/>
              <w:bottom w:val="single" w:sz="8" w:color="auto"/>
            </w:tcBorders>
          </w:tcPr>
          <w:p>
            <w:pPr>
              <w:jc w:val="center"/>
              <w:ind w:left="760"/>
              <w:spacing w:after="0"/>
              <w:rPr>
                <w:sz w:val="20"/>
                <w:szCs w:val="20"/>
                <w:color w:val="auto"/>
              </w:rPr>
            </w:pPr>
            <w:r>
              <w:rPr>
                <w:rFonts w:ascii="Times New Roman" w:cs="Times New Roman" w:eastAsia="Times New Roman" w:hAnsi="Times New Roman"/>
                <w:sz w:val="12"/>
                <w:szCs w:val="12"/>
                <w:b w:val="1"/>
                <w:bCs w:val="1"/>
                <w:color w:val="auto"/>
                <w:w w:val="95"/>
              </w:rPr>
              <w:t>0.04</w:t>
            </w:r>
          </w:p>
        </w:tc>
        <w:tc>
          <w:tcPr>
            <w:tcW w:w="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Six months ended:</w:t>
      </w:r>
    </w:p>
    <w:p>
      <w:pPr>
        <w:sectPr>
          <w:pgSz w:w="11900" w:h="16838" w:orient="portrait"/>
          <w:cols w:equalWidth="0" w:num="1">
            <w:col w:w="11300"/>
          </w:cols>
          <w:pgMar w:left="300" w:top="651" w:right="299" w:bottom="1440" w:gutter="0" w:footer="0" w:header="0"/>
        </w:sect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(in millions, except EPS)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Electric Transmission</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Electric Distribution</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Natural Gas Distribution</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Water Distribution</w:t>
      </w:r>
    </w:p>
    <w:p>
      <w:pPr>
        <w:spacing w:after="0" w:line="225" w:lineRule="auto"/>
        <w:rPr>
          <w:sz w:val="20"/>
          <w:szCs w:val="20"/>
          <w:color w:val="auto"/>
        </w:rPr>
      </w:pPr>
      <w:r>
        <w:rPr>
          <w:rFonts w:ascii="Times New Roman" w:cs="Times New Roman" w:eastAsia="Times New Roman" w:hAnsi="Times New Roman"/>
          <w:sz w:val="12"/>
          <w:szCs w:val="12"/>
          <w:color w:val="auto"/>
        </w:rPr>
        <w:t xml:space="preserve">Parent and Other Companies </w:t>
      </w:r>
      <w:r>
        <w:rPr>
          <w:rFonts w:ascii="Times New Roman" w:cs="Times New Roman" w:eastAsia="Times New Roman" w:hAnsi="Times New Roman"/>
          <w:sz w:val="19"/>
          <w:szCs w:val="19"/>
          <w:color w:val="auto"/>
          <w:vertAlign w:val="superscript"/>
        </w:rPr>
        <w:t>1</w:t>
      </w:r>
    </w:p>
    <w:p>
      <w:pPr>
        <w:spacing w:after="0"/>
        <w:rPr>
          <w:sz w:val="20"/>
          <w:szCs w:val="20"/>
          <w:color w:val="auto"/>
        </w:rPr>
      </w:pPr>
      <w:r>
        <w:rPr>
          <w:rFonts w:ascii="Times New Roman" w:cs="Times New Roman" w:eastAsia="Times New Roman" w:hAnsi="Times New Roman"/>
          <w:sz w:val="11"/>
          <w:szCs w:val="11"/>
          <w:color w:val="auto"/>
        </w:rPr>
        <w:t>Impairment of Offshore Wind Investment</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Transaction and other charges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Reported Earnings</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4"/>
        </w:trPr>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tcPr>
          <w:p>
            <w:pPr>
              <w:jc w:val="right"/>
              <w:ind w:right="600"/>
              <w:spacing w:after="0"/>
              <w:rPr>
                <w:sz w:val="20"/>
                <w:szCs w:val="20"/>
                <w:color w:val="auto"/>
              </w:rPr>
            </w:pPr>
            <w:r>
              <w:rPr>
                <w:rFonts w:ascii="Times New Roman" w:cs="Times New Roman" w:eastAsia="Times New Roman" w:hAnsi="Times New Roman"/>
                <w:sz w:val="12"/>
                <w:szCs w:val="12"/>
                <w:b w:val="1"/>
                <w:bCs w:val="1"/>
                <w:color w:val="auto"/>
              </w:rPr>
              <w:t>Increase/</w:t>
            </w: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3"/>
            <w:vMerge w:val="restart"/>
          </w:tcPr>
          <w:p>
            <w:pPr>
              <w:ind w:left="120"/>
              <w:spacing w:after="0"/>
              <w:rPr>
                <w:sz w:val="20"/>
                <w:szCs w:val="20"/>
                <w:color w:val="auto"/>
              </w:rPr>
            </w:pPr>
            <w:r>
              <w:rPr>
                <w:rFonts w:ascii="Times New Roman" w:cs="Times New Roman" w:eastAsia="Times New Roman" w:hAnsi="Times New Roman"/>
                <w:sz w:val="12"/>
                <w:szCs w:val="12"/>
                <w:b w:val="1"/>
                <w:bCs w:val="1"/>
                <w:color w:val="auto"/>
              </w:rPr>
              <w:t xml:space="preserve">2023 EPS </w:t>
            </w:r>
            <w:r>
              <w:rPr>
                <w:rFonts w:ascii="Times New Roman" w:cs="Times New Roman" w:eastAsia="Times New Roman" w:hAnsi="Times New Roman"/>
                <w:sz w:val="19"/>
                <w:szCs w:val="19"/>
                <w:b w:val="1"/>
                <w:bCs w:val="1"/>
                <w:color w:val="auto"/>
                <w:vertAlign w:val="superscript"/>
              </w:rPr>
              <w:t>1</w:t>
            </w:r>
          </w:p>
        </w:tc>
        <w:tc>
          <w:tcPr>
            <w:tcW w:w="0" w:type="dxa"/>
            <w:vAlign w:val="bottom"/>
          </w:tcPr>
          <w:p>
            <w:pPr>
              <w:spacing w:after="0"/>
              <w:rPr>
                <w:sz w:val="1"/>
                <w:szCs w:val="1"/>
                <w:color w:val="auto"/>
              </w:rPr>
            </w:pPr>
          </w:p>
        </w:tc>
      </w:tr>
      <w:tr>
        <w:trPr>
          <w:trHeight w:val="159"/>
        </w:trPr>
        <w:tc>
          <w:tcPr>
            <w:tcW w:w="180" w:type="dxa"/>
            <w:vAlign w:val="bottom"/>
          </w:tcPr>
          <w:p>
            <w:pPr>
              <w:spacing w:after="0"/>
              <w:rPr>
                <w:sz w:val="13"/>
                <w:szCs w:val="13"/>
                <w:color w:val="auto"/>
              </w:rPr>
            </w:pPr>
          </w:p>
        </w:tc>
        <w:tc>
          <w:tcPr>
            <w:tcW w:w="1320" w:type="dxa"/>
            <w:vAlign w:val="bottom"/>
            <w:gridSpan w:val="2"/>
          </w:tcPr>
          <w:p>
            <w:pPr>
              <w:jc w:val="right"/>
              <w:ind w:right="520"/>
              <w:spacing w:after="0"/>
              <w:rPr>
                <w:sz w:val="20"/>
                <w:szCs w:val="20"/>
                <w:color w:val="auto"/>
              </w:rPr>
            </w:pPr>
            <w:r>
              <w:rPr>
                <w:rFonts w:ascii="Times New Roman" w:cs="Times New Roman" w:eastAsia="Times New Roman" w:hAnsi="Times New Roman"/>
                <w:sz w:val="12"/>
                <w:szCs w:val="12"/>
                <w:b w:val="1"/>
                <w:bCs w:val="1"/>
                <w:color w:val="auto"/>
              </w:rPr>
              <w:t>June 30, 2024</w:t>
            </w:r>
          </w:p>
        </w:tc>
        <w:tc>
          <w:tcPr>
            <w:tcW w:w="160" w:type="dxa"/>
            <w:vAlign w:val="bottom"/>
          </w:tcPr>
          <w:p>
            <w:pPr>
              <w:spacing w:after="0"/>
              <w:rPr>
                <w:sz w:val="13"/>
                <w:szCs w:val="13"/>
                <w:color w:val="auto"/>
              </w:rPr>
            </w:pPr>
          </w:p>
        </w:tc>
        <w:tc>
          <w:tcPr>
            <w:tcW w:w="1320" w:type="dxa"/>
            <w:vAlign w:val="bottom"/>
            <w:gridSpan w:val="2"/>
          </w:tcPr>
          <w:p>
            <w:pPr>
              <w:jc w:val="right"/>
              <w:ind w:right="520"/>
              <w:spacing w:after="0"/>
              <w:rPr>
                <w:sz w:val="20"/>
                <w:szCs w:val="20"/>
                <w:color w:val="auto"/>
              </w:rPr>
            </w:pPr>
            <w:r>
              <w:rPr>
                <w:rFonts w:ascii="Times New Roman" w:cs="Times New Roman" w:eastAsia="Times New Roman" w:hAnsi="Times New Roman"/>
                <w:sz w:val="12"/>
                <w:szCs w:val="12"/>
                <w:b w:val="1"/>
                <w:bCs w:val="1"/>
                <w:color w:val="auto"/>
              </w:rPr>
              <w:t>June 30, 2023</w:t>
            </w:r>
          </w:p>
        </w:tc>
        <w:tc>
          <w:tcPr>
            <w:tcW w:w="200" w:type="dxa"/>
            <w:vAlign w:val="bottom"/>
          </w:tcPr>
          <w:p>
            <w:pPr>
              <w:spacing w:after="0"/>
              <w:rPr>
                <w:sz w:val="13"/>
                <w:szCs w:val="13"/>
                <w:color w:val="auto"/>
              </w:rPr>
            </w:pPr>
          </w:p>
        </w:tc>
        <w:tc>
          <w:tcPr>
            <w:tcW w:w="1260" w:type="dxa"/>
            <w:vAlign w:val="bottom"/>
            <w:gridSpan w:val="2"/>
          </w:tcPr>
          <w:p>
            <w:pPr>
              <w:jc w:val="right"/>
              <w:ind w:right="560"/>
              <w:spacing w:after="0"/>
              <w:rPr>
                <w:sz w:val="20"/>
                <w:szCs w:val="20"/>
                <w:color w:val="auto"/>
              </w:rPr>
            </w:pPr>
            <w:r>
              <w:rPr>
                <w:rFonts w:ascii="Times New Roman" w:cs="Times New Roman" w:eastAsia="Times New Roman" w:hAnsi="Times New Roman"/>
                <w:sz w:val="12"/>
                <w:szCs w:val="12"/>
                <w:b w:val="1"/>
                <w:bCs w:val="1"/>
                <w:color w:val="auto"/>
              </w:rPr>
              <w:t>(Decrease)</w:t>
            </w:r>
          </w:p>
        </w:tc>
        <w:tc>
          <w:tcPr>
            <w:tcW w:w="220" w:type="dxa"/>
            <w:vAlign w:val="bottom"/>
          </w:tcPr>
          <w:p>
            <w:pPr>
              <w:spacing w:after="0"/>
              <w:rPr>
                <w:sz w:val="13"/>
                <w:szCs w:val="13"/>
                <w:color w:val="auto"/>
              </w:rPr>
            </w:pPr>
          </w:p>
        </w:tc>
        <w:tc>
          <w:tcPr>
            <w:tcW w:w="1240" w:type="dxa"/>
            <w:vAlign w:val="bottom"/>
            <w:gridSpan w:val="2"/>
          </w:tcPr>
          <w:p>
            <w:pPr>
              <w:jc w:val="right"/>
              <w:ind w:right="600"/>
              <w:spacing w:after="0"/>
              <w:rPr>
                <w:sz w:val="20"/>
                <w:szCs w:val="20"/>
                <w:color w:val="auto"/>
              </w:rPr>
            </w:pPr>
            <w:r>
              <w:rPr>
                <w:rFonts w:ascii="Times New Roman" w:cs="Times New Roman" w:eastAsia="Times New Roman" w:hAnsi="Times New Roman"/>
                <w:sz w:val="12"/>
                <w:szCs w:val="12"/>
                <w:b w:val="1"/>
                <w:bCs w:val="1"/>
                <w:color w:val="auto"/>
              </w:rPr>
              <w:t>2024 EPS</w:t>
            </w:r>
          </w:p>
        </w:tc>
        <w:tc>
          <w:tcPr>
            <w:tcW w:w="200" w:type="dxa"/>
            <w:vAlign w:val="bottom"/>
          </w:tcPr>
          <w:p>
            <w:pPr>
              <w:spacing w:after="0"/>
              <w:rPr>
                <w:sz w:val="13"/>
                <w:szCs w:val="13"/>
                <w:color w:val="auto"/>
              </w:rPr>
            </w:pPr>
          </w:p>
        </w:tc>
        <w:tc>
          <w:tcPr>
            <w:tcW w:w="106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18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tcBorders>
          </w:tcPr>
          <w:p>
            <w:pPr>
              <w:jc w:val="right"/>
              <w:spacing w:after="0" w:line="132" w:lineRule="exact"/>
              <w:rPr>
                <w:sz w:val="20"/>
                <w:szCs w:val="20"/>
                <w:color w:val="auto"/>
              </w:rPr>
            </w:pPr>
            <w:r>
              <w:rPr>
                <w:rFonts w:ascii="Times New Roman" w:cs="Times New Roman" w:eastAsia="Times New Roman" w:hAnsi="Times New Roman"/>
                <w:sz w:val="12"/>
                <w:szCs w:val="12"/>
                <w:color w:val="auto"/>
              </w:rPr>
              <w:t>365.7</w:t>
            </w:r>
          </w:p>
        </w:tc>
        <w:tc>
          <w:tcPr>
            <w:tcW w:w="240" w:type="dxa"/>
            <w:vAlign w:val="bottom"/>
          </w:tcPr>
          <w:p>
            <w:pPr>
              <w:spacing w:after="0"/>
              <w:rPr>
                <w:sz w:val="11"/>
                <w:szCs w:val="11"/>
                <w:color w:val="auto"/>
              </w:rPr>
            </w:pPr>
          </w:p>
        </w:tc>
        <w:tc>
          <w:tcPr>
            <w:tcW w:w="16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tcBorders>
          </w:tcPr>
          <w:p>
            <w:pPr>
              <w:jc w:val="right"/>
              <w:spacing w:after="0" w:line="132" w:lineRule="exact"/>
              <w:rPr>
                <w:sz w:val="20"/>
                <w:szCs w:val="20"/>
                <w:color w:val="auto"/>
              </w:rPr>
            </w:pPr>
            <w:r>
              <w:rPr>
                <w:rFonts w:ascii="Times New Roman" w:cs="Times New Roman" w:eastAsia="Times New Roman" w:hAnsi="Times New Roman"/>
                <w:sz w:val="12"/>
                <w:szCs w:val="12"/>
                <w:color w:val="auto"/>
              </w:rPr>
              <w:t>316.1</w:t>
            </w:r>
          </w:p>
        </w:tc>
        <w:tc>
          <w:tcPr>
            <w:tcW w:w="240" w:type="dxa"/>
            <w:vAlign w:val="bottom"/>
          </w:tcPr>
          <w:p>
            <w:pPr>
              <w:spacing w:after="0"/>
              <w:rPr>
                <w:sz w:val="11"/>
                <w:szCs w:val="11"/>
                <w:color w:val="auto"/>
              </w:rPr>
            </w:pPr>
          </w:p>
        </w:tc>
        <w:tc>
          <w:tcPr>
            <w:tcW w:w="200" w:type="dxa"/>
            <w:vAlign w:val="bottom"/>
            <w:tcBorders>
              <w:top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tcBorders>
          </w:tcPr>
          <w:p>
            <w:pPr>
              <w:jc w:val="right"/>
              <w:spacing w:after="0" w:line="132" w:lineRule="exact"/>
              <w:rPr>
                <w:sz w:val="20"/>
                <w:szCs w:val="20"/>
                <w:color w:val="auto"/>
              </w:rPr>
            </w:pPr>
            <w:r>
              <w:rPr>
                <w:rFonts w:ascii="Times New Roman" w:cs="Times New Roman" w:eastAsia="Times New Roman" w:hAnsi="Times New Roman"/>
                <w:sz w:val="12"/>
                <w:szCs w:val="12"/>
                <w:color w:val="auto"/>
              </w:rPr>
              <w:t>49.6</w:t>
            </w:r>
          </w:p>
        </w:tc>
        <w:tc>
          <w:tcPr>
            <w:tcW w:w="220" w:type="dxa"/>
            <w:vAlign w:val="bottom"/>
          </w:tcPr>
          <w:p>
            <w:pPr>
              <w:spacing w:after="0"/>
              <w:rPr>
                <w:sz w:val="11"/>
                <w:szCs w:val="11"/>
                <w:color w:val="auto"/>
              </w:rPr>
            </w:pPr>
          </w:p>
        </w:tc>
        <w:tc>
          <w:tcPr>
            <w:tcW w:w="220" w:type="dxa"/>
            <w:vAlign w:val="bottom"/>
            <w:tcBorders>
              <w:top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tcBorders>
          </w:tcPr>
          <w:p>
            <w:pPr>
              <w:jc w:val="right"/>
              <w:spacing w:after="0" w:line="132" w:lineRule="exact"/>
              <w:rPr>
                <w:sz w:val="20"/>
                <w:szCs w:val="20"/>
                <w:color w:val="auto"/>
              </w:rPr>
            </w:pPr>
            <w:r>
              <w:rPr>
                <w:rFonts w:ascii="Times New Roman" w:cs="Times New Roman" w:eastAsia="Times New Roman" w:hAnsi="Times New Roman"/>
                <w:sz w:val="12"/>
                <w:szCs w:val="12"/>
                <w:color w:val="auto"/>
              </w:rPr>
              <w:t>1.04</w:t>
            </w:r>
          </w:p>
        </w:tc>
        <w:tc>
          <w:tcPr>
            <w:tcW w:w="220" w:type="dxa"/>
            <w:vAlign w:val="bottom"/>
          </w:tcPr>
          <w:p>
            <w:pPr>
              <w:spacing w:after="0"/>
              <w:rPr>
                <w:sz w:val="11"/>
                <w:szCs w:val="11"/>
                <w:color w:val="auto"/>
              </w:rPr>
            </w:pPr>
          </w:p>
        </w:tc>
        <w:tc>
          <w:tcPr>
            <w:tcW w:w="200" w:type="dxa"/>
            <w:vAlign w:val="bottom"/>
            <w:tcBorders>
              <w:top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tcBorders>
          </w:tcPr>
          <w:p>
            <w:pPr>
              <w:jc w:val="center"/>
              <w:ind w:left="760"/>
              <w:spacing w:after="0" w:line="132" w:lineRule="exact"/>
              <w:rPr>
                <w:sz w:val="20"/>
                <w:szCs w:val="20"/>
                <w:color w:val="auto"/>
              </w:rPr>
            </w:pPr>
            <w:r>
              <w:rPr>
                <w:rFonts w:ascii="Times New Roman" w:cs="Times New Roman" w:eastAsia="Times New Roman" w:hAnsi="Times New Roman"/>
                <w:sz w:val="12"/>
                <w:szCs w:val="12"/>
                <w:color w:val="auto"/>
                <w:w w:val="95"/>
              </w:rPr>
              <w:t>0.90</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80" w:type="dxa"/>
            <w:vAlign w:val="bottom"/>
          </w:tcPr>
          <w:p>
            <w:pPr>
              <w:spacing w:after="0"/>
              <w:rPr>
                <w:sz w:val="14"/>
                <w:szCs w:val="14"/>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317.9</w:t>
            </w:r>
          </w:p>
        </w:tc>
        <w:tc>
          <w:tcPr>
            <w:tcW w:w="160" w:type="dxa"/>
            <w:vAlign w:val="bottom"/>
          </w:tcPr>
          <w:p>
            <w:pPr>
              <w:spacing w:after="0"/>
              <w:rPr>
                <w:sz w:val="14"/>
                <w:szCs w:val="14"/>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331.0</w:t>
            </w:r>
          </w:p>
        </w:tc>
        <w:tc>
          <w:tcPr>
            <w:tcW w:w="200" w:type="dxa"/>
            <w:vAlign w:val="bottom"/>
          </w:tcPr>
          <w:p>
            <w:pPr>
              <w:spacing w:after="0"/>
              <w:rPr>
                <w:sz w:val="14"/>
                <w:szCs w:val="14"/>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(13.1)</w:t>
            </w:r>
          </w:p>
        </w:tc>
        <w:tc>
          <w:tcPr>
            <w:tcW w:w="220" w:type="dxa"/>
            <w:vAlign w:val="bottom"/>
          </w:tcPr>
          <w:p>
            <w:pPr>
              <w:spacing w:after="0"/>
              <w:rPr>
                <w:sz w:val="14"/>
                <w:szCs w:val="14"/>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0.90</w:t>
            </w:r>
          </w:p>
        </w:tc>
        <w:tc>
          <w:tcPr>
            <w:tcW w:w="200" w:type="dxa"/>
            <w:vAlign w:val="bottom"/>
          </w:tcPr>
          <w:p>
            <w:pPr>
              <w:spacing w:after="0"/>
              <w:rPr>
                <w:sz w:val="14"/>
                <w:szCs w:val="14"/>
                <w:color w:val="auto"/>
              </w:rPr>
            </w:pPr>
          </w:p>
        </w:tc>
        <w:tc>
          <w:tcPr>
            <w:tcW w:w="1040" w:type="dxa"/>
            <w:vAlign w:val="bottom"/>
            <w:gridSpan w:val="2"/>
          </w:tcPr>
          <w:p>
            <w:pPr>
              <w:jc w:val="center"/>
              <w:ind w:left="740"/>
              <w:spacing w:after="0"/>
              <w:rPr>
                <w:sz w:val="20"/>
                <w:szCs w:val="20"/>
                <w:color w:val="auto"/>
              </w:rPr>
            </w:pPr>
            <w:r>
              <w:rPr>
                <w:rFonts w:ascii="Times New Roman" w:cs="Times New Roman" w:eastAsia="Times New Roman" w:hAnsi="Times New Roman"/>
                <w:sz w:val="12"/>
                <w:szCs w:val="12"/>
                <w:color w:val="auto"/>
                <w:w w:val="95"/>
              </w:rPr>
              <w:t>0.95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80" w:type="dxa"/>
            <w:vAlign w:val="bottom"/>
          </w:tcPr>
          <w:p>
            <w:pPr>
              <w:spacing w:after="0"/>
              <w:rPr>
                <w:sz w:val="13"/>
                <w:szCs w:val="13"/>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217.6</w:t>
            </w:r>
          </w:p>
        </w:tc>
        <w:tc>
          <w:tcPr>
            <w:tcW w:w="160" w:type="dxa"/>
            <w:vAlign w:val="bottom"/>
          </w:tcPr>
          <w:p>
            <w:pPr>
              <w:spacing w:after="0"/>
              <w:rPr>
                <w:sz w:val="13"/>
                <w:szCs w:val="13"/>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181.9</w:t>
            </w:r>
          </w:p>
        </w:tc>
        <w:tc>
          <w:tcPr>
            <w:tcW w:w="200" w:type="dxa"/>
            <w:vAlign w:val="bottom"/>
          </w:tcPr>
          <w:p>
            <w:pPr>
              <w:spacing w:after="0"/>
              <w:rPr>
                <w:sz w:val="13"/>
                <w:szCs w:val="13"/>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35.7</w:t>
            </w:r>
          </w:p>
        </w:tc>
        <w:tc>
          <w:tcPr>
            <w:tcW w:w="220" w:type="dxa"/>
            <w:vAlign w:val="bottom"/>
          </w:tcPr>
          <w:p>
            <w:pPr>
              <w:spacing w:after="0"/>
              <w:rPr>
                <w:sz w:val="13"/>
                <w:szCs w:val="13"/>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0.61</w:t>
            </w:r>
          </w:p>
        </w:tc>
        <w:tc>
          <w:tcPr>
            <w:tcW w:w="200" w:type="dxa"/>
            <w:vAlign w:val="bottom"/>
          </w:tcPr>
          <w:p>
            <w:pPr>
              <w:spacing w:after="0"/>
              <w:rPr>
                <w:sz w:val="13"/>
                <w:szCs w:val="13"/>
                <w:color w:val="auto"/>
              </w:rPr>
            </w:pPr>
          </w:p>
        </w:tc>
        <w:tc>
          <w:tcPr>
            <w:tcW w:w="1040" w:type="dxa"/>
            <w:vAlign w:val="bottom"/>
            <w:gridSpan w:val="2"/>
          </w:tcPr>
          <w:p>
            <w:pPr>
              <w:jc w:val="center"/>
              <w:ind w:left="740"/>
              <w:spacing w:after="0"/>
              <w:rPr>
                <w:sz w:val="20"/>
                <w:szCs w:val="20"/>
                <w:color w:val="auto"/>
              </w:rPr>
            </w:pPr>
            <w:r>
              <w:rPr>
                <w:rFonts w:ascii="Times New Roman" w:cs="Times New Roman" w:eastAsia="Times New Roman" w:hAnsi="Times New Roman"/>
                <w:sz w:val="12"/>
                <w:szCs w:val="12"/>
                <w:color w:val="auto"/>
                <w:w w:val="95"/>
              </w:rPr>
              <w:t>0.52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80" w:type="dxa"/>
            <w:vAlign w:val="bottom"/>
          </w:tcPr>
          <w:p>
            <w:pPr>
              <w:spacing w:after="0"/>
              <w:rPr>
                <w:sz w:val="13"/>
                <w:szCs w:val="13"/>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13.4</w:t>
            </w:r>
          </w:p>
        </w:tc>
        <w:tc>
          <w:tcPr>
            <w:tcW w:w="160" w:type="dxa"/>
            <w:vAlign w:val="bottom"/>
          </w:tcPr>
          <w:p>
            <w:pPr>
              <w:spacing w:after="0"/>
              <w:rPr>
                <w:sz w:val="13"/>
                <w:szCs w:val="13"/>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10.8</w:t>
            </w:r>
          </w:p>
        </w:tc>
        <w:tc>
          <w:tcPr>
            <w:tcW w:w="200" w:type="dxa"/>
            <w:vAlign w:val="bottom"/>
          </w:tcPr>
          <w:p>
            <w:pPr>
              <w:spacing w:after="0"/>
              <w:rPr>
                <w:sz w:val="13"/>
                <w:szCs w:val="13"/>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2.6</w:t>
            </w:r>
          </w:p>
        </w:tc>
        <w:tc>
          <w:tcPr>
            <w:tcW w:w="220" w:type="dxa"/>
            <w:vAlign w:val="bottom"/>
          </w:tcPr>
          <w:p>
            <w:pPr>
              <w:spacing w:after="0"/>
              <w:rPr>
                <w:sz w:val="13"/>
                <w:szCs w:val="13"/>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0.04</w:t>
            </w:r>
          </w:p>
        </w:tc>
        <w:tc>
          <w:tcPr>
            <w:tcW w:w="200" w:type="dxa"/>
            <w:vAlign w:val="bottom"/>
          </w:tcPr>
          <w:p>
            <w:pPr>
              <w:spacing w:after="0"/>
              <w:rPr>
                <w:sz w:val="13"/>
                <w:szCs w:val="13"/>
                <w:color w:val="auto"/>
              </w:rPr>
            </w:pPr>
          </w:p>
        </w:tc>
        <w:tc>
          <w:tcPr>
            <w:tcW w:w="1040" w:type="dxa"/>
            <w:vAlign w:val="bottom"/>
            <w:gridSpan w:val="2"/>
          </w:tcPr>
          <w:p>
            <w:pPr>
              <w:jc w:val="center"/>
              <w:ind w:left="740"/>
              <w:spacing w:after="0"/>
              <w:rPr>
                <w:sz w:val="20"/>
                <w:szCs w:val="20"/>
                <w:color w:val="auto"/>
              </w:rPr>
            </w:pPr>
            <w:r>
              <w:rPr>
                <w:rFonts w:ascii="Times New Roman" w:cs="Times New Roman" w:eastAsia="Times New Roman" w:hAnsi="Times New Roman"/>
                <w:sz w:val="12"/>
                <w:szCs w:val="12"/>
                <w:color w:val="auto"/>
                <w:w w:val="95"/>
              </w:rPr>
              <w:t>0.03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80" w:type="dxa"/>
            <w:vAlign w:val="bottom"/>
          </w:tcPr>
          <w:p>
            <w:pPr>
              <w:spacing w:after="0"/>
              <w:rPr>
                <w:sz w:val="14"/>
                <w:szCs w:val="14"/>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(57.4)</w:t>
            </w:r>
          </w:p>
        </w:tc>
        <w:tc>
          <w:tcPr>
            <w:tcW w:w="160" w:type="dxa"/>
            <w:vAlign w:val="bottom"/>
          </w:tcPr>
          <w:p>
            <w:pPr>
              <w:spacing w:after="0"/>
              <w:rPr>
                <w:sz w:val="14"/>
                <w:szCs w:val="14"/>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4.5</w:t>
            </w:r>
          </w:p>
        </w:tc>
        <w:tc>
          <w:tcPr>
            <w:tcW w:w="200" w:type="dxa"/>
            <w:vAlign w:val="bottom"/>
          </w:tcPr>
          <w:p>
            <w:pPr>
              <w:spacing w:after="0"/>
              <w:rPr>
                <w:sz w:val="14"/>
                <w:szCs w:val="14"/>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(61.9)</w:t>
            </w:r>
          </w:p>
        </w:tc>
        <w:tc>
          <w:tcPr>
            <w:tcW w:w="220" w:type="dxa"/>
            <w:vAlign w:val="bottom"/>
          </w:tcPr>
          <w:p>
            <w:pPr>
              <w:spacing w:after="0"/>
              <w:rPr>
                <w:sz w:val="14"/>
                <w:szCs w:val="14"/>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(0.16)</w:t>
            </w:r>
          </w:p>
        </w:tc>
        <w:tc>
          <w:tcPr>
            <w:tcW w:w="200" w:type="dxa"/>
            <w:vAlign w:val="bottom"/>
          </w:tcPr>
          <w:p>
            <w:pPr>
              <w:spacing w:after="0"/>
              <w:rPr>
                <w:sz w:val="14"/>
                <w:szCs w:val="14"/>
                <w:color w:val="auto"/>
              </w:rPr>
            </w:pPr>
          </w:p>
        </w:tc>
        <w:tc>
          <w:tcPr>
            <w:tcW w:w="1040" w:type="dxa"/>
            <w:vAlign w:val="bottom"/>
            <w:gridSpan w:val="2"/>
          </w:tcPr>
          <w:p>
            <w:pPr>
              <w:jc w:val="center"/>
              <w:ind w:left="740"/>
              <w:spacing w:after="0"/>
              <w:rPr>
                <w:sz w:val="20"/>
                <w:szCs w:val="20"/>
                <w:color w:val="auto"/>
              </w:rPr>
            </w:pPr>
            <w:r>
              <w:rPr>
                <w:rFonts w:ascii="Times New Roman" w:cs="Times New Roman" w:eastAsia="Times New Roman" w:hAnsi="Times New Roman"/>
                <w:sz w:val="12"/>
                <w:szCs w:val="12"/>
                <w:color w:val="auto"/>
                <w:w w:val="95"/>
              </w:rPr>
              <w:t>0.01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80" w:type="dxa"/>
            <w:vAlign w:val="bottom"/>
          </w:tcPr>
          <w:p>
            <w:pPr>
              <w:spacing w:after="0"/>
              <w:rPr>
                <w:sz w:val="13"/>
                <w:szCs w:val="13"/>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(331.0)</w:t>
            </w:r>
          </w:p>
        </w:tc>
        <w:tc>
          <w:tcPr>
            <w:tcW w:w="200" w:type="dxa"/>
            <w:vAlign w:val="bottom"/>
          </w:tcPr>
          <w:p>
            <w:pPr>
              <w:spacing w:after="0"/>
              <w:rPr>
                <w:sz w:val="13"/>
                <w:szCs w:val="13"/>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331.0</w:t>
            </w:r>
          </w:p>
        </w:tc>
        <w:tc>
          <w:tcPr>
            <w:tcW w:w="220" w:type="dxa"/>
            <w:vAlign w:val="bottom"/>
          </w:tcPr>
          <w:p>
            <w:pPr>
              <w:spacing w:after="0"/>
              <w:rPr>
                <w:sz w:val="13"/>
                <w:szCs w:val="13"/>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1060" w:type="dxa"/>
            <w:vAlign w:val="bottom"/>
            <w:gridSpan w:val="3"/>
          </w:tcPr>
          <w:p>
            <w:pPr>
              <w:jc w:val="center"/>
              <w:ind w:left="720"/>
              <w:spacing w:after="0"/>
              <w:rPr>
                <w:sz w:val="20"/>
                <w:szCs w:val="20"/>
                <w:color w:val="auto"/>
              </w:rPr>
            </w:pPr>
            <w:r>
              <w:rPr>
                <w:rFonts w:ascii="Times New Roman" w:cs="Times New Roman" w:eastAsia="Times New Roman" w:hAnsi="Times New Roman"/>
                <w:sz w:val="12"/>
                <w:szCs w:val="12"/>
                <w:color w:val="auto"/>
                <w:w w:val="96"/>
              </w:rPr>
              <w:t>(0.95)</w:t>
            </w:r>
          </w:p>
        </w:tc>
        <w:tc>
          <w:tcPr>
            <w:tcW w:w="0" w:type="dxa"/>
            <w:vAlign w:val="bottom"/>
          </w:tcPr>
          <w:p>
            <w:pPr>
              <w:spacing w:after="0"/>
              <w:rPr>
                <w:sz w:val="1"/>
                <w:szCs w:val="1"/>
                <w:color w:val="auto"/>
              </w:rPr>
            </w:pPr>
          </w:p>
        </w:tc>
      </w:tr>
      <w:tr>
        <w:trPr>
          <w:trHeight w:val="164"/>
        </w:trPr>
        <w:tc>
          <w:tcPr>
            <w:tcW w:w="180" w:type="dxa"/>
            <w:vAlign w:val="bottom"/>
          </w:tcPr>
          <w:p>
            <w:pPr>
              <w:spacing w:after="0"/>
              <w:rPr>
                <w:sz w:val="14"/>
                <w:szCs w:val="14"/>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4"/>
                <w:szCs w:val="14"/>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(6.7)</w:t>
            </w:r>
          </w:p>
        </w:tc>
        <w:tc>
          <w:tcPr>
            <w:tcW w:w="200" w:type="dxa"/>
            <w:vAlign w:val="bottom"/>
          </w:tcPr>
          <w:p>
            <w:pPr>
              <w:spacing w:after="0"/>
              <w:rPr>
                <w:sz w:val="14"/>
                <w:szCs w:val="14"/>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6.7</w:t>
            </w:r>
          </w:p>
        </w:tc>
        <w:tc>
          <w:tcPr>
            <w:tcW w:w="220" w:type="dxa"/>
            <w:vAlign w:val="bottom"/>
          </w:tcPr>
          <w:p>
            <w:pPr>
              <w:spacing w:after="0"/>
              <w:rPr>
                <w:sz w:val="14"/>
                <w:szCs w:val="14"/>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1060" w:type="dxa"/>
            <w:vAlign w:val="bottom"/>
            <w:gridSpan w:val="3"/>
          </w:tcPr>
          <w:p>
            <w:pPr>
              <w:jc w:val="center"/>
              <w:ind w:left="720"/>
              <w:spacing w:after="0"/>
              <w:rPr>
                <w:sz w:val="20"/>
                <w:szCs w:val="20"/>
                <w:color w:val="auto"/>
              </w:rPr>
            </w:pPr>
            <w:r>
              <w:rPr>
                <w:rFonts w:ascii="Times New Roman" w:cs="Times New Roman" w:eastAsia="Times New Roman" w:hAnsi="Times New Roman"/>
                <w:sz w:val="12"/>
                <w:szCs w:val="12"/>
                <w:color w:val="auto"/>
                <w:w w:val="96"/>
              </w:rPr>
              <w:t>(0.01)</w:t>
            </w:r>
          </w:p>
        </w:tc>
        <w:tc>
          <w:tcPr>
            <w:tcW w:w="0" w:type="dxa"/>
            <w:vAlign w:val="bottom"/>
          </w:tcPr>
          <w:p>
            <w:pPr>
              <w:spacing w:after="0"/>
              <w:rPr>
                <w:sz w:val="1"/>
                <w:szCs w:val="1"/>
                <w:color w:val="auto"/>
              </w:rPr>
            </w:pPr>
          </w:p>
        </w:tc>
      </w:tr>
      <w:tr>
        <w:trPr>
          <w:trHeight w:val="149"/>
        </w:trPr>
        <w:tc>
          <w:tcPr>
            <w:tcW w:w="180" w:type="dxa"/>
            <w:vAlign w:val="bottom"/>
            <w:tcBorders>
              <w:top w:val="single" w:sz="8" w:color="auto"/>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857.2</w:t>
            </w:r>
          </w:p>
        </w:tc>
        <w:tc>
          <w:tcPr>
            <w:tcW w:w="240" w:type="dxa"/>
            <w:vAlign w:val="bottom"/>
          </w:tcPr>
          <w:p>
            <w:pPr>
              <w:spacing w:after="0"/>
              <w:rPr>
                <w:sz w:val="12"/>
                <w:szCs w:val="12"/>
                <w:color w:val="auto"/>
              </w:rPr>
            </w:pPr>
          </w:p>
        </w:tc>
        <w:tc>
          <w:tcPr>
            <w:tcW w:w="160" w:type="dxa"/>
            <w:vAlign w:val="bottom"/>
            <w:tcBorders>
              <w:top w:val="single" w:sz="8" w:color="auto"/>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506.6</w:t>
            </w:r>
          </w:p>
        </w:tc>
        <w:tc>
          <w:tcPr>
            <w:tcW w:w="24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350.6</w:t>
            </w:r>
          </w:p>
        </w:tc>
        <w:tc>
          <w:tcPr>
            <w:tcW w:w="22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2.43</w:t>
            </w:r>
          </w:p>
        </w:tc>
        <w:tc>
          <w:tcPr>
            <w:tcW w:w="22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40" w:type="dxa"/>
            <w:vAlign w:val="bottom"/>
            <w:tcBorders>
              <w:top w:val="single" w:sz="8" w:color="auto"/>
              <w:bottom w:val="single" w:sz="8" w:color="auto"/>
            </w:tcBorders>
            <w:gridSpan w:val="2"/>
          </w:tcPr>
          <w:p>
            <w:pPr>
              <w:jc w:val="center"/>
              <w:ind w:left="740"/>
              <w:spacing w:after="0"/>
              <w:rPr>
                <w:sz w:val="20"/>
                <w:szCs w:val="20"/>
                <w:color w:val="auto"/>
              </w:rPr>
            </w:pPr>
            <w:r>
              <w:rPr>
                <w:rFonts w:ascii="Times New Roman" w:cs="Times New Roman" w:eastAsia="Times New Roman" w:hAnsi="Times New Roman"/>
                <w:sz w:val="12"/>
                <w:szCs w:val="12"/>
                <w:b w:val="1"/>
                <w:bCs w:val="1"/>
                <w:color w:val="auto"/>
                <w:w w:val="95"/>
              </w:rPr>
              <w:t>1.45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-2582545</wp:posOffset>
            </wp:positionH>
            <wp:positionV relativeFrom="paragraph">
              <wp:posOffset>-622300</wp:posOffset>
            </wp:positionV>
            <wp:extent cx="7178040" cy="971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8040" cy="97155"/>
                    </a:xfrm>
                    <a:prstGeom prst="rect">
                      <a:avLst/>
                    </a:prstGeom>
                    <a:noFill/>
                  </pic:spPr>
                </pic:pic>
              </a:graphicData>
            </a:graphic>
          </wp:anchor>
        </w:drawing>
        <w:drawing>
          <wp:anchor simplePos="0" relativeHeight="251657728" behindDoc="1" locked="0" layoutInCell="0" allowOverlap="1">
            <wp:simplePos x="0" y="0"/>
            <wp:positionH relativeFrom="column">
              <wp:posOffset>-2582545</wp:posOffset>
            </wp:positionH>
            <wp:positionV relativeFrom="paragraph">
              <wp:posOffset>-427990</wp:posOffset>
            </wp:positionV>
            <wp:extent cx="7178040" cy="1143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8040" cy="114300"/>
                    </a:xfrm>
                    <a:prstGeom prst="rect">
                      <a:avLst/>
                    </a:prstGeom>
                    <a:noFill/>
                  </pic:spPr>
                </pic:pic>
              </a:graphicData>
            </a:graphic>
          </wp:anchor>
        </w:drawing>
        <w:drawing>
          <wp:anchor simplePos="0" relativeHeight="251657728" behindDoc="1" locked="0" layoutInCell="0" allowOverlap="1">
            <wp:simplePos x="0" y="0"/>
            <wp:positionH relativeFrom="column">
              <wp:posOffset>-2582545</wp:posOffset>
            </wp:positionH>
            <wp:positionV relativeFrom="paragraph">
              <wp:posOffset>-216535</wp:posOffset>
            </wp:positionV>
            <wp:extent cx="7178040" cy="971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8040" cy="97155"/>
                    </a:xfrm>
                    <a:prstGeom prst="rect">
                      <a:avLst/>
                    </a:prstGeom>
                    <a:noFill/>
                  </pic:spPr>
                </pic:pic>
              </a:graphicData>
            </a:graphic>
          </wp:anchor>
        </w:drawing>
        <w:drawing>
          <wp:anchor simplePos="0" relativeHeight="251657728" behindDoc="1" locked="0" layoutInCell="0" allowOverlap="1">
            <wp:simplePos x="0" y="0"/>
            <wp:positionH relativeFrom="column">
              <wp:posOffset>-2582545</wp:posOffset>
            </wp:positionH>
            <wp:positionV relativeFrom="paragraph">
              <wp:posOffset>-822325</wp:posOffset>
            </wp:positionV>
            <wp:extent cx="7178040" cy="1028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8040" cy="102870"/>
                    </a:xfrm>
                    <a:prstGeom prst="rect">
                      <a:avLst/>
                    </a:prstGeom>
                    <a:noFill/>
                  </pic:spPr>
                </pic:pic>
              </a:graphicData>
            </a:graphic>
          </wp:anchor>
        </w:drawing>
      </w:r>
    </w:p>
    <w:p>
      <w:pPr>
        <w:spacing w:after="0" w:line="133" w:lineRule="exact"/>
        <w:rPr>
          <w:sz w:val="20"/>
          <w:szCs w:val="20"/>
          <w:color w:val="auto"/>
        </w:rPr>
      </w:pPr>
    </w:p>
    <w:p>
      <w:pPr>
        <w:sectPr>
          <w:pgSz w:w="11900" w:h="16838" w:orient="portrait"/>
          <w:cols w:equalWidth="0" w:num="2">
            <w:col w:w="3340" w:space="720"/>
            <w:col w:w="7240"/>
          </w:cols>
          <w:pgMar w:left="300" w:top="651" w:right="299" w:bottom="1440" w:gutter="0" w:footer="0" w:header="0"/>
          <w:type w:val="continuous"/>
        </w:sectPr>
      </w:pPr>
    </w:p>
    <w:p>
      <w:pPr>
        <w:ind w:right="160"/>
        <w:spacing w:after="0" w:line="279" w:lineRule="auto"/>
        <w:rPr>
          <w:sz w:val="20"/>
          <w:szCs w:val="20"/>
          <w:color w:val="auto"/>
        </w:rPr>
      </w:pPr>
      <w:r>
        <w:rPr>
          <w:rFonts w:ascii="Times New Roman" w:cs="Times New Roman" w:eastAsia="Times New Roman" w:hAnsi="Times New Roman"/>
          <w:sz w:val="12"/>
          <w:szCs w:val="12"/>
          <w:color w:val="auto"/>
        </w:rPr>
        <w:t>Eversource Energy has approximately 355 million common shares outstanding and operates New England’s largest energy delivery system. It serves approximately 4.4 million electric, natural gas and water customers in Connecticut, Massachusetts and New Hampshire.</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CONTACT: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Matthew P. Fallon</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(860) 665-6242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95250</wp:posOffset>
            </wp:positionV>
            <wp:extent cx="7178040" cy="2400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8040" cy="240030"/>
                    </a:xfrm>
                    <a:prstGeom prst="rect">
                      <a:avLst/>
                    </a:prstGeom>
                    <a:noFill/>
                  </pic:spPr>
                </pic:pic>
              </a:graphicData>
            </a:graphic>
          </wp:anchor>
        </w:drawing>
      </w:r>
    </w:p>
    <w:p>
      <w:pPr>
        <w:spacing w:after="0" w:line="160" w:lineRule="exact"/>
        <w:rPr>
          <w:sz w:val="20"/>
          <w:szCs w:val="20"/>
          <w:color w:val="auto"/>
        </w:rPr>
      </w:pPr>
    </w:p>
    <w:p>
      <w:pPr>
        <w:ind w:left="40" w:right="280"/>
        <w:spacing w:after="0" w:line="286" w:lineRule="auto"/>
        <w:rPr>
          <w:sz w:val="20"/>
          <w:szCs w:val="20"/>
          <w:color w:val="auto"/>
        </w:rPr>
      </w:pPr>
      <w:r>
        <w:rPr>
          <w:rFonts w:ascii="Times New Roman" w:cs="Times New Roman" w:eastAsia="Times New Roman" w:hAnsi="Times New Roman"/>
          <w:sz w:val="12"/>
          <w:szCs w:val="12"/>
          <w:b w:val="1"/>
          <w:bCs w:val="1"/>
          <w:color w:val="auto"/>
        </w:rPr>
        <w:t>Note: Eversource Energy will webcast a conference call with senior management on August 1, 2024, beginning at 9 a.m. Eastern Time. The webcast and associated slides can be accessed through Eversource Energy’s website at www.eversource.com.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297815</wp:posOffset>
            </wp:positionV>
            <wp:extent cx="7178040"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type w:val="continuous"/>
        </w:sectPr>
      </w:pPr>
    </w:p>
    <w:bookmarkStart w:id="7" w:name="page8"/>
    <w:bookmarkEnd w:id="7"/>
    <w:p>
      <w:pPr>
        <w:ind w:left="8" w:right="40" w:hanging="8"/>
        <w:spacing w:after="0" w:line="238" w:lineRule="auto"/>
        <w:tabs>
          <w:tab w:leader="none" w:pos="83" w:val="left"/>
        </w:tabs>
        <w:numPr>
          <w:ilvl w:val="0"/>
          <w:numId w:val="2"/>
        </w:numPr>
        <w:rPr>
          <w:rFonts w:ascii="Times New Roman" w:cs="Times New Roman" w:eastAsia="Times New Roman" w:hAnsi="Times New Roman"/>
          <w:sz w:val="20"/>
          <w:szCs w:val="20"/>
          <w:i w:val="1"/>
          <w:iCs w:val="1"/>
          <w:color w:val="auto"/>
          <w:vertAlign w:val="superscript"/>
        </w:rPr>
      </w:pPr>
      <w:r>
        <w:rPr>
          <w:rFonts w:ascii="Times New Roman" w:cs="Times New Roman" w:eastAsia="Times New Roman" w:hAnsi="Times New Roman"/>
          <w:sz w:val="12"/>
          <w:szCs w:val="12"/>
          <w:i w:val="1"/>
          <w:iCs w:val="1"/>
          <w:color w:val="auto"/>
        </w:rPr>
        <w:t>All per-share amounts in this news release are reported on a diluted basis. The only common equity securities that are publicly traded are common shares of Eversource Energy. The earnings discussion includes financial measures that are not recognized under generally accepted accounting principles (non-GAAP) referencing earnings and EPS excluding the impairment charge for the offshore wind investments, a loss on the disposition of land that was initially acquired to construct the Northern Pass Transmission project and was subsequently abandoned, and certain transaction and transition costs. EPS by business is also a non-GAAP financial measure and is calculated by dividing the net income attributable to common shareholders of each business by the weighted average diluted Eversource Energy common shares outstanding for the period. The earnings and EPS of each business do not represent a direct legal interest in the assets and liabilities of such business, but rather represent a direct interest in Eversource Energy’s assets and liabilities as a whole. Eversource Energy uses these non-GAAP financial measures to evaluate and provide details of earnings results by business and to more fully compare and explain results without including these items. This information is among the primary indicators management uses as a basis for evaluating performance and planning and forecasting of future periods. Management believes the impacts of the impairment charge for the offshore wind investments, the loss on the disposition of land associated with an abandoned project, and transaction and transition costs are not indicative of Eversource Energy's ongoing costs and performance. Management views these charges as not directly related to the ongoing operations of the business and therefore not an indicator of baseline operating performance. Due to the nature and significance of the effect of these items on net income attributable to common shareholders and EPS, management believes that the non-GAAP presentation is a more meaningful representation of Eversource Energy's financial performance and provides additional and useful information to readers of this report in analyzing historical and future performance of the business. These non-GAAP financial measures should not be considered as alternatives to reported net income attributable to common shareholders or EPS determined in accordance with GAAP as indicators of Eversource Energy's operating performance.</w:t>
      </w:r>
    </w:p>
    <w:p>
      <w:pPr>
        <w:spacing w:after="0" w:line="132" w:lineRule="exact"/>
        <w:rPr>
          <w:sz w:val="20"/>
          <w:szCs w:val="20"/>
          <w:color w:val="auto"/>
        </w:rPr>
      </w:pPr>
    </w:p>
    <w:p>
      <w:pPr>
        <w:ind w:left="8"/>
        <w:spacing w:after="0" w:line="252" w:lineRule="auto"/>
        <w:rPr>
          <w:sz w:val="20"/>
          <w:szCs w:val="20"/>
          <w:color w:val="auto"/>
        </w:rPr>
      </w:pPr>
      <w:r>
        <w:rPr>
          <w:rFonts w:ascii="Times New Roman" w:cs="Times New Roman" w:eastAsia="Times New Roman" w:hAnsi="Times New Roman"/>
          <w:sz w:val="12"/>
          <w:szCs w:val="12"/>
          <w:i w:val="1"/>
          <w:iCs w:val="1"/>
          <w:color w:val="auto"/>
        </w:rPr>
        <w:t>This document includes statements concerning Eversource Energy’s expectations, beliefs, plans, objectives, goals, strategies, assumptions of future events, future financial performance or growth and other statements that are not historical facts. These statements are “forward-looking statements” within the meaning of the Private Securities Litigation Reform Act of 1995. Generally, readers can identify these forward-looking statements through the use of words or phrases such as “estimate,” “expect,” “anticipate,” “intend,” “plan,” “project,” “believe,” “forecast,” “should,” “could” and other similar expressions. Forward-looking statements involve risks and uncertainties that may cause actual results or outcomes to differ materially from those included in the forward-looking statements. Forward-looking statements are based on the current expectations, estimates, assumptions or projections of management and are not guarantees of future performance. These expectations, estimates, assumptions or projections may vary materially from actual results. Accordingly, any such statements are qualified in their entirety by reference to, and are accompanied by, the following important factors that may cause our actual results or outcomes to differ materially from those contained in our forward-looking statements, including, but not limited to: cyberattacks or breaches, including those resulting in the compromise of the confidentiality of our proprietary information and the personal information of our customers; our ability to complete the sale of our offshore wind investments in the South Fork Wind and Revolution Wind projects on the timeline, terms and pricing we expect; if we and the counterparty are unable to satisfy all closing conditions and consummate the purchase and sale transaction with respect to these offshore wind assets; if we are unable to qualify for investment tax credits related to these projects; if we experience variability in the projected construction costs of these offshore wind projects, if there is a deterioration of market conditions in the offshore wind industry; and if the projects do not commence operation as scheduled or within budget or are not completed; disruptions in the capital markets or other events that make our access to necessary capital more difficult or costly; changes in economic conditions, including impact on interest rates, tax policies, and customer demand and payment ability; ability or inability to commence and complete our major strategic development projects and opportunities; acts of war or terrorism, physical attacks or grid disturbances that may damage and disrupt our electric transmission and electric, natural gas, and water distribution systems; actions or inaction of local, state and federal regulatory, public policy and taxing bodies; substandard performance of third-party suppliers and service providers; fluctuations in weather patterns, including extreme weather due to climate change; changes in business conditions, which could include disruptive technology or development of alternative energy sources related to our current or future business model; contamination of, or disruption in, our water supplies; changes in levels or timing of capital expenditures; changes in laws, regulations or regulatory policy, including compliance with environmental laws and regulations; changes in accounting standards and financial reporting regulations; actions of rating agencies; and other presently unknown or unforeseen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285115</wp:posOffset>
            </wp:positionV>
            <wp:extent cx="7178040"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88"/>
          </w:cols>
          <w:pgMar w:left="292" w:top="676" w:right="319" w:bottom="1440" w:gutter="0" w:footer="0" w:header="0"/>
        </w:sectPr>
      </w:pPr>
    </w:p>
    <w:bookmarkStart w:id="8" w:name="page9"/>
    <w:bookmarkEnd w:id="8"/>
    <w:p>
      <w:pPr>
        <w:spacing w:after="0" w:line="261" w:lineRule="auto"/>
        <w:rPr>
          <w:sz w:val="20"/>
          <w:szCs w:val="20"/>
          <w:color w:val="auto"/>
        </w:rPr>
      </w:pPr>
      <w:r>
        <w:rPr>
          <w:rFonts w:ascii="Times New Roman" w:cs="Times New Roman" w:eastAsia="Times New Roman" w:hAnsi="Times New Roman"/>
          <w:sz w:val="12"/>
          <w:szCs w:val="12"/>
          <w:i w:val="1"/>
          <w:iCs w:val="1"/>
          <w:color w:val="auto"/>
        </w:rPr>
        <w:t xml:space="preserve">Other risk factors are detailed in Eversource Energy’s reports filed with the Securities and Exchange Commission (SEC). They are updated as necessary and available on Eversource Energy’s website at </w:t>
      </w:r>
      <w:r>
        <w:rPr>
          <w:rFonts w:ascii="Times New Roman" w:cs="Times New Roman" w:eastAsia="Times New Roman" w:hAnsi="Times New Roman"/>
          <w:sz w:val="12"/>
          <w:szCs w:val="12"/>
          <w:i w:val="1"/>
          <w:iCs w:val="1"/>
          <w:u w:val="single" w:color="auto"/>
          <w:color w:val="auto"/>
        </w:rPr>
        <w:t>www.eversource.com</w:t>
      </w:r>
      <w:r>
        <w:rPr>
          <w:rFonts w:ascii="Times New Roman" w:cs="Times New Roman" w:eastAsia="Times New Roman" w:hAnsi="Times New Roman"/>
          <w:sz w:val="12"/>
          <w:szCs w:val="12"/>
          <w:i w:val="1"/>
          <w:iCs w:val="1"/>
          <w:color w:val="auto"/>
        </w:rPr>
        <w:t xml:space="preserve"> and on the SEC’s website at </w:t>
      </w:r>
      <w:r>
        <w:rPr>
          <w:rFonts w:ascii="Times New Roman" w:cs="Times New Roman" w:eastAsia="Times New Roman" w:hAnsi="Times New Roman"/>
          <w:sz w:val="12"/>
          <w:szCs w:val="12"/>
          <w:i w:val="1"/>
          <w:iCs w:val="1"/>
          <w:u w:val="single" w:color="auto"/>
          <w:color w:val="auto"/>
        </w:rPr>
        <w:t>www.sec.gov</w:t>
      </w:r>
      <w:r>
        <w:rPr>
          <w:rFonts w:ascii="Times New Roman" w:cs="Times New Roman" w:eastAsia="Times New Roman" w:hAnsi="Times New Roman"/>
          <w:sz w:val="12"/>
          <w:szCs w:val="12"/>
          <w:i w:val="1"/>
          <w:iCs w:val="1"/>
          <w:color w:val="auto"/>
        </w:rPr>
        <w:t>. All such factors are difficult to predict and contain uncertainties that may materially affect Eversource Energy’s actual results, many of which are beyond our control. You should not place undue reliance on the forward-looking statements, as each speaks only as of the date on which such statement is made, and, except as required by federal securities laws, Eversource Energy undertakes no obligation to update any forward-looking statement or statements to reflect events or circumstances after the date on which such statement is made or to reflect the occurrence of unanticipated events.</w:t>
      </w:r>
    </w:p>
    <w:p>
      <w:pPr>
        <w:spacing w:after="0" w:line="1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296545</wp:posOffset>
            </wp:positionV>
            <wp:extent cx="7178040" cy="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60"/>
          </w:cols>
          <w:pgMar w:left="300" w:top="649"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90"/>
        </w:trPr>
        <w:tc>
          <w:tcPr>
            <w:tcW w:w="5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Exhibit 99.2</w:t>
            </w:r>
          </w:p>
        </w:tc>
      </w:tr>
      <w:tr>
        <w:trPr>
          <w:trHeight w:val="298"/>
        </w:trPr>
        <w:tc>
          <w:tcPr>
            <w:tcW w:w="5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EVERSOURCE ENERGY AND SUBSIDIARIES</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62"/>
        </w:trPr>
        <w:tc>
          <w:tcPr>
            <w:tcW w:w="5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CONDENSED CONSOLIDATED STATEMENTS OF INCOME</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88"/>
        </w:trPr>
        <w:tc>
          <w:tcPr>
            <w:tcW w:w="5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(Unaudited)</w:t>
            </w: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307"/>
        </w:trPr>
        <w:tc>
          <w:tcPr>
            <w:tcW w:w="5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700" w:type="dxa"/>
            <w:vAlign w:val="bottom"/>
            <w:gridSpan w:val="5"/>
          </w:tcPr>
          <w:p>
            <w:pPr>
              <w:jc w:val="right"/>
              <w:ind w:right="680"/>
              <w:spacing w:after="0"/>
              <w:rPr>
                <w:sz w:val="20"/>
                <w:szCs w:val="20"/>
                <w:color w:val="auto"/>
              </w:rPr>
            </w:pPr>
            <w:r>
              <w:rPr>
                <w:rFonts w:ascii="Times New Roman" w:cs="Times New Roman" w:eastAsia="Times New Roman" w:hAnsi="Times New Roman"/>
                <w:sz w:val="12"/>
                <w:szCs w:val="12"/>
                <w:color w:val="auto"/>
              </w:rPr>
              <w:t>For the Three Months Ended June 30,</w:t>
            </w:r>
          </w:p>
        </w:tc>
        <w:tc>
          <w:tcPr>
            <w:tcW w:w="280" w:type="dxa"/>
            <w:vAlign w:val="bottom"/>
          </w:tcPr>
          <w:p>
            <w:pPr>
              <w:spacing w:after="0"/>
              <w:rPr>
                <w:sz w:val="24"/>
                <w:szCs w:val="24"/>
                <w:color w:val="auto"/>
              </w:rPr>
            </w:pPr>
          </w:p>
        </w:tc>
        <w:tc>
          <w:tcPr>
            <w:tcW w:w="2520" w:type="dxa"/>
            <w:vAlign w:val="bottom"/>
            <w:gridSpan w:val="5"/>
          </w:tcPr>
          <w:p>
            <w:pPr>
              <w:jc w:val="right"/>
              <w:ind w:right="600"/>
              <w:spacing w:after="0"/>
              <w:rPr>
                <w:sz w:val="20"/>
                <w:szCs w:val="20"/>
                <w:color w:val="auto"/>
              </w:rPr>
            </w:pPr>
            <w:r>
              <w:rPr>
                <w:rFonts w:ascii="Times New Roman" w:cs="Times New Roman" w:eastAsia="Times New Roman" w:hAnsi="Times New Roman"/>
                <w:sz w:val="12"/>
                <w:szCs w:val="12"/>
                <w:color w:val="auto"/>
              </w:rPr>
              <w:t>For the Six Months Ended June 30,</w:t>
            </w:r>
          </w:p>
        </w:tc>
      </w:tr>
      <w:tr>
        <w:trPr>
          <w:trHeight w:val="142"/>
        </w:trPr>
        <w:tc>
          <w:tcPr>
            <w:tcW w:w="55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(Thousands of Dollars, Except Share Information)</w:t>
            </w:r>
          </w:p>
        </w:tc>
        <w:tc>
          <w:tcPr>
            <w:tcW w:w="2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ind w:right="440"/>
              <w:spacing w:after="0"/>
              <w:rPr>
                <w:sz w:val="20"/>
                <w:szCs w:val="20"/>
                <w:color w:val="auto"/>
              </w:rPr>
            </w:pPr>
            <w:r>
              <w:rPr>
                <w:rFonts w:ascii="Times New Roman" w:cs="Times New Roman" w:eastAsia="Times New Roman" w:hAnsi="Times New Roman"/>
                <w:sz w:val="12"/>
                <w:szCs w:val="12"/>
                <w:color w:val="auto"/>
              </w:rPr>
              <w:t>2024</w:t>
            </w:r>
          </w:p>
        </w:tc>
        <w:tc>
          <w:tcPr>
            <w:tcW w:w="2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ind w:right="460"/>
              <w:spacing w:after="0"/>
              <w:rPr>
                <w:sz w:val="20"/>
                <w:szCs w:val="20"/>
                <w:color w:val="auto"/>
              </w:rPr>
            </w:pPr>
            <w:r>
              <w:rPr>
                <w:rFonts w:ascii="Times New Roman" w:cs="Times New Roman" w:eastAsia="Times New Roman" w:hAnsi="Times New Roman"/>
                <w:sz w:val="12"/>
                <w:szCs w:val="12"/>
                <w:color w:val="auto"/>
              </w:rPr>
              <w:t>2023</w:t>
            </w:r>
          </w:p>
        </w:tc>
        <w:tc>
          <w:tcPr>
            <w:tcW w:w="2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ind w:right="440"/>
              <w:spacing w:after="0"/>
              <w:rPr>
                <w:sz w:val="20"/>
                <w:szCs w:val="20"/>
                <w:color w:val="auto"/>
              </w:rPr>
            </w:pPr>
            <w:r>
              <w:rPr>
                <w:rFonts w:ascii="Times New Roman" w:cs="Times New Roman" w:eastAsia="Times New Roman" w:hAnsi="Times New Roman"/>
                <w:sz w:val="12"/>
                <w:szCs w:val="12"/>
                <w:color w:val="auto"/>
              </w:rPr>
              <w:t>2024</w:t>
            </w:r>
          </w:p>
        </w:tc>
        <w:tc>
          <w:tcPr>
            <w:tcW w:w="2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419"/>
              <w:spacing w:after="0"/>
              <w:rPr>
                <w:sz w:val="20"/>
                <w:szCs w:val="20"/>
                <w:color w:val="auto"/>
              </w:rPr>
            </w:pPr>
            <w:r>
              <w:rPr>
                <w:rFonts w:ascii="Times New Roman" w:cs="Times New Roman" w:eastAsia="Times New Roman" w:hAnsi="Times New Roman"/>
                <w:sz w:val="12"/>
                <w:szCs w:val="12"/>
                <w:color w:val="auto"/>
              </w:rPr>
              <w:t>2023</w:t>
            </w:r>
          </w:p>
        </w:tc>
        <w:tc>
          <w:tcPr>
            <w:tcW w:w="120" w:type="dxa"/>
            <w:vAlign w:val="bottom"/>
          </w:tcPr>
          <w:p>
            <w:pPr>
              <w:spacing w:after="0"/>
              <w:rPr>
                <w:sz w:val="12"/>
                <w:szCs w:val="12"/>
                <w:color w:val="auto"/>
              </w:rPr>
            </w:pPr>
          </w:p>
        </w:tc>
      </w:tr>
      <w:tr>
        <w:trPr>
          <w:trHeight w:val="142"/>
        </w:trPr>
        <w:tc>
          <w:tcPr>
            <w:tcW w:w="5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Operating Revenues</w:t>
            </w:r>
          </w:p>
        </w:tc>
        <w:tc>
          <w:tcPr>
            <w:tcW w:w="12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bottom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2,533,522</w:t>
            </w:r>
          </w:p>
        </w:tc>
        <w:tc>
          <w:tcPr>
            <w:tcW w:w="24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bottom w:val="single" w:sz="8" w:color="auto"/>
            </w:tcBorders>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2,629,342</w:t>
            </w:r>
          </w:p>
        </w:tc>
        <w:tc>
          <w:tcPr>
            <w:tcW w:w="22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bottom w:val="single" w:sz="8" w:color="auto"/>
            </w:tcBorders>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5,866,097</w:t>
            </w:r>
          </w:p>
        </w:tc>
        <w:tc>
          <w:tcPr>
            <w:tcW w:w="22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bottom w:val="single" w:sz="8" w:color="auto"/>
            </w:tcBorders>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6,424,985</w:t>
            </w:r>
          </w:p>
        </w:tc>
        <w:tc>
          <w:tcPr>
            <w:tcW w:w="120" w:type="dxa"/>
            <w:vAlign w:val="bottom"/>
            <w:tcBorders>
              <w:top w:val="single" w:sz="8" w:color="CCEEFF"/>
            </w:tcBorders>
            <w:shd w:val="clear" w:color="auto" w:fill="CCEEFF"/>
          </w:tcPr>
          <w:p>
            <w:pPr>
              <w:spacing w:after="0"/>
              <w:rPr>
                <w:sz w:val="12"/>
                <w:szCs w:val="12"/>
                <w:color w:val="auto"/>
              </w:rPr>
            </w:pPr>
          </w:p>
        </w:tc>
      </w:tr>
      <w:tr>
        <w:trPr>
          <w:trHeight w:val="133"/>
        </w:trPr>
        <w:tc>
          <w:tcPr>
            <w:tcW w:w="5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4"/>
        </w:trPr>
        <w:tc>
          <w:tcPr>
            <w:tcW w:w="5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Operating Expenses:</w:t>
            </w:r>
          </w:p>
        </w:tc>
        <w:tc>
          <w:tcPr>
            <w:tcW w:w="2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554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Purchased Power, Purchased Natural Gas and Transmission</w:t>
            </w:r>
          </w:p>
        </w:tc>
        <w:tc>
          <w:tcPr>
            <w:tcW w:w="260" w:type="dxa"/>
            <w:vAlign w:val="bottom"/>
          </w:tcPr>
          <w:p>
            <w:pPr>
              <w:spacing w:after="0"/>
              <w:rPr>
                <w:sz w:val="12"/>
                <w:szCs w:val="12"/>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841,431</w:t>
            </w:r>
          </w:p>
        </w:tc>
        <w:tc>
          <w:tcPr>
            <w:tcW w:w="280" w:type="dxa"/>
            <w:vAlign w:val="bottom"/>
          </w:tcPr>
          <w:p>
            <w:pPr>
              <w:spacing w:after="0"/>
              <w:rPr>
                <w:sz w:val="12"/>
                <w:szCs w:val="12"/>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1,161,067</w:t>
            </w:r>
          </w:p>
        </w:tc>
        <w:tc>
          <w:tcPr>
            <w:tcW w:w="280" w:type="dxa"/>
            <w:vAlign w:val="bottom"/>
          </w:tcPr>
          <w:p>
            <w:pPr>
              <w:spacing w:after="0"/>
              <w:rPr>
                <w:sz w:val="12"/>
                <w:szCs w:val="12"/>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2,077,387</w:t>
            </w:r>
          </w:p>
        </w:tc>
        <w:tc>
          <w:tcPr>
            <w:tcW w:w="28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3,064,313</w:t>
            </w:r>
          </w:p>
        </w:tc>
      </w:tr>
      <w:tr>
        <w:trPr>
          <w:trHeight w:val="144"/>
        </w:trPr>
        <w:tc>
          <w:tcPr>
            <w:tcW w:w="55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Operations and Maintenance</w:t>
            </w:r>
          </w:p>
        </w:tc>
        <w:tc>
          <w:tcPr>
            <w:tcW w:w="2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464,424</w:t>
            </w:r>
          </w:p>
        </w:tc>
        <w:tc>
          <w:tcPr>
            <w:tcW w:w="2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427,290</w:t>
            </w:r>
          </w:p>
        </w:tc>
        <w:tc>
          <w:tcPr>
            <w:tcW w:w="2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927,388</w:t>
            </w:r>
          </w:p>
        </w:tc>
        <w:tc>
          <w:tcPr>
            <w:tcW w:w="2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881,852</w:t>
            </w:r>
          </w:p>
        </w:tc>
      </w:tr>
      <w:tr>
        <w:trPr>
          <w:trHeight w:val="144"/>
        </w:trPr>
        <w:tc>
          <w:tcPr>
            <w:tcW w:w="554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Depreciation</w:t>
            </w:r>
          </w:p>
        </w:tc>
        <w:tc>
          <w:tcPr>
            <w:tcW w:w="260" w:type="dxa"/>
            <w:vAlign w:val="bottom"/>
          </w:tcPr>
          <w:p>
            <w:pPr>
              <w:spacing w:after="0"/>
              <w:rPr>
                <w:sz w:val="12"/>
                <w:szCs w:val="12"/>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354,591</w:t>
            </w:r>
          </w:p>
        </w:tc>
        <w:tc>
          <w:tcPr>
            <w:tcW w:w="280" w:type="dxa"/>
            <w:vAlign w:val="bottom"/>
          </w:tcPr>
          <w:p>
            <w:pPr>
              <w:spacing w:after="0"/>
              <w:rPr>
                <w:sz w:val="12"/>
                <w:szCs w:val="12"/>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319,995</w:t>
            </w:r>
          </w:p>
        </w:tc>
        <w:tc>
          <w:tcPr>
            <w:tcW w:w="280" w:type="dxa"/>
            <w:vAlign w:val="bottom"/>
          </w:tcPr>
          <w:p>
            <w:pPr>
              <w:spacing w:after="0"/>
              <w:rPr>
                <w:sz w:val="12"/>
                <w:szCs w:val="12"/>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694,505</w:t>
            </w:r>
          </w:p>
        </w:tc>
        <w:tc>
          <w:tcPr>
            <w:tcW w:w="28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632,949</w:t>
            </w:r>
          </w:p>
        </w:tc>
      </w:tr>
      <w:tr>
        <w:trPr>
          <w:trHeight w:val="144"/>
        </w:trPr>
        <w:tc>
          <w:tcPr>
            <w:tcW w:w="55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Amortization</w:t>
            </w:r>
          </w:p>
        </w:tc>
        <w:tc>
          <w:tcPr>
            <w:tcW w:w="2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(114,137)</w:t>
            </w:r>
          </w:p>
        </w:tc>
        <w:tc>
          <w:tcPr>
            <w:tcW w:w="2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(218,422)</w:t>
            </w:r>
          </w:p>
        </w:tc>
        <w:tc>
          <w:tcPr>
            <w:tcW w:w="2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(116,462)</w:t>
            </w:r>
          </w:p>
        </w:tc>
        <w:tc>
          <w:tcPr>
            <w:tcW w:w="2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(294,481)</w:t>
            </w:r>
          </w:p>
        </w:tc>
      </w:tr>
      <w:tr>
        <w:trPr>
          <w:trHeight w:val="144"/>
        </w:trPr>
        <w:tc>
          <w:tcPr>
            <w:tcW w:w="554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Energy Efficiency Programs</w:t>
            </w:r>
          </w:p>
        </w:tc>
        <w:tc>
          <w:tcPr>
            <w:tcW w:w="260" w:type="dxa"/>
            <w:vAlign w:val="bottom"/>
          </w:tcPr>
          <w:p>
            <w:pPr>
              <w:spacing w:after="0"/>
              <w:rPr>
                <w:sz w:val="12"/>
                <w:szCs w:val="12"/>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145,288</w:t>
            </w:r>
          </w:p>
        </w:tc>
        <w:tc>
          <w:tcPr>
            <w:tcW w:w="280" w:type="dxa"/>
            <w:vAlign w:val="bottom"/>
          </w:tcPr>
          <w:p>
            <w:pPr>
              <w:spacing w:after="0"/>
              <w:rPr>
                <w:sz w:val="12"/>
                <w:szCs w:val="12"/>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145,823</w:t>
            </w:r>
          </w:p>
        </w:tc>
        <w:tc>
          <w:tcPr>
            <w:tcW w:w="280" w:type="dxa"/>
            <w:vAlign w:val="bottom"/>
          </w:tcPr>
          <w:p>
            <w:pPr>
              <w:spacing w:after="0"/>
              <w:rPr>
                <w:sz w:val="12"/>
                <w:szCs w:val="12"/>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358,767</w:t>
            </w:r>
          </w:p>
        </w:tc>
        <w:tc>
          <w:tcPr>
            <w:tcW w:w="28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368,774</w:t>
            </w:r>
          </w:p>
        </w:tc>
      </w:tr>
      <w:tr>
        <w:trPr>
          <w:trHeight w:val="153"/>
        </w:trPr>
        <w:tc>
          <w:tcPr>
            <w:tcW w:w="55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Taxes Other Than Income Taxes</w:t>
            </w:r>
          </w:p>
        </w:tc>
        <w:tc>
          <w:tcPr>
            <w:tcW w:w="26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239,427</w:t>
            </w:r>
          </w:p>
        </w:tc>
        <w:tc>
          <w:tcPr>
            <w:tcW w:w="28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232,927</w:t>
            </w:r>
          </w:p>
        </w:tc>
        <w:tc>
          <w:tcPr>
            <w:tcW w:w="28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476,042</w:t>
            </w:r>
          </w:p>
        </w:tc>
        <w:tc>
          <w:tcPr>
            <w:tcW w:w="28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461,344</w:t>
            </w:r>
          </w:p>
        </w:tc>
      </w:tr>
      <w:tr>
        <w:trPr>
          <w:trHeight w:val="133"/>
        </w:trPr>
        <w:tc>
          <w:tcPr>
            <w:tcW w:w="5540" w:type="dxa"/>
            <w:vAlign w:val="bottom"/>
            <w:tcBorders>
              <w:bottom w:val="single" w:sz="8" w:color="CCEEFF"/>
            </w:tcBorders>
            <w:gridSpan w:val="2"/>
          </w:tcPr>
          <w:p>
            <w:pPr>
              <w:ind w:left="220"/>
              <w:spacing w:after="0" w:line="133" w:lineRule="exact"/>
              <w:rPr>
                <w:sz w:val="20"/>
                <w:szCs w:val="20"/>
                <w:color w:val="auto"/>
              </w:rPr>
            </w:pPr>
            <w:r>
              <w:rPr>
                <w:rFonts w:ascii="Times New Roman" w:cs="Times New Roman" w:eastAsia="Times New Roman" w:hAnsi="Times New Roman"/>
                <w:sz w:val="12"/>
                <w:szCs w:val="12"/>
                <w:color w:val="auto"/>
              </w:rPr>
              <w:t>Total Operating Expenses</w:t>
            </w:r>
          </w:p>
        </w:tc>
        <w:tc>
          <w:tcPr>
            <w:tcW w:w="260" w:type="dxa"/>
            <w:vAlign w:val="bottom"/>
            <w:tcBorders>
              <w:top w:val="single" w:sz="8" w:color="auto"/>
              <w:bottom w:val="single" w:sz="8" w:color="auto"/>
            </w:tcBorders>
          </w:tcPr>
          <w:p>
            <w:pPr>
              <w:spacing w:after="0"/>
              <w:rPr>
                <w:sz w:val="11"/>
                <w:szCs w:val="11"/>
                <w:color w:val="auto"/>
              </w:rPr>
            </w:pPr>
          </w:p>
        </w:tc>
        <w:tc>
          <w:tcPr>
            <w:tcW w:w="98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1,931,024</w:t>
            </w:r>
          </w:p>
        </w:tc>
        <w:tc>
          <w:tcPr>
            <w:tcW w:w="240" w:type="dxa"/>
            <w:vAlign w:val="bottom"/>
            <w:tcBorders>
              <w:bottom w:val="single" w:sz="8" w:color="CCEEFF"/>
            </w:tcBorders>
          </w:tcPr>
          <w:p>
            <w:pPr>
              <w:spacing w:after="0"/>
              <w:rPr>
                <w:sz w:val="11"/>
                <w:szCs w:val="11"/>
                <w:color w:val="auto"/>
              </w:rPr>
            </w:pPr>
          </w:p>
        </w:tc>
        <w:tc>
          <w:tcPr>
            <w:tcW w:w="280" w:type="dxa"/>
            <w:vAlign w:val="bottom"/>
            <w:tcBorders>
              <w:top w:val="single" w:sz="8" w:color="auto"/>
              <w:bottom w:val="single" w:sz="8" w:color="auto"/>
            </w:tcBorders>
          </w:tcPr>
          <w:p>
            <w:pPr>
              <w:spacing w:after="0"/>
              <w:rPr>
                <w:sz w:val="11"/>
                <w:szCs w:val="11"/>
                <w:color w:val="auto"/>
              </w:rPr>
            </w:pPr>
          </w:p>
        </w:tc>
        <w:tc>
          <w:tcPr>
            <w:tcW w:w="98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2,068,680</w:t>
            </w:r>
          </w:p>
        </w:tc>
        <w:tc>
          <w:tcPr>
            <w:tcW w:w="220" w:type="dxa"/>
            <w:vAlign w:val="bottom"/>
            <w:tcBorders>
              <w:bottom w:val="single" w:sz="8" w:color="CCEEFF"/>
            </w:tcBorders>
          </w:tcPr>
          <w:p>
            <w:pPr>
              <w:spacing w:after="0"/>
              <w:rPr>
                <w:sz w:val="11"/>
                <w:szCs w:val="11"/>
                <w:color w:val="auto"/>
              </w:rPr>
            </w:pPr>
          </w:p>
        </w:tc>
        <w:tc>
          <w:tcPr>
            <w:tcW w:w="280" w:type="dxa"/>
            <w:vAlign w:val="bottom"/>
            <w:tcBorders>
              <w:top w:val="single" w:sz="8" w:color="auto"/>
              <w:bottom w:val="single" w:sz="8" w:color="auto"/>
            </w:tcBorders>
          </w:tcPr>
          <w:p>
            <w:pPr>
              <w:spacing w:after="0"/>
              <w:rPr>
                <w:sz w:val="11"/>
                <w:szCs w:val="11"/>
                <w:color w:val="auto"/>
              </w:rPr>
            </w:pPr>
          </w:p>
        </w:tc>
        <w:tc>
          <w:tcPr>
            <w:tcW w:w="96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4,417,627</w:t>
            </w:r>
          </w:p>
        </w:tc>
        <w:tc>
          <w:tcPr>
            <w:tcW w:w="220" w:type="dxa"/>
            <w:vAlign w:val="bottom"/>
            <w:tcBorders>
              <w:bottom w:val="single" w:sz="8" w:color="CCEEFF"/>
            </w:tcBorders>
          </w:tcPr>
          <w:p>
            <w:pPr>
              <w:spacing w:after="0"/>
              <w:rPr>
                <w:sz w:val="11"/>
                <w:szCs w:val="11"/>
                <w:color w:val="auto"/>
              </w:rPr>
            </w:pPr>
          </w:p>
        </w:tc>
        <w:tc>
          <w:tcPr>
            <w:tcW w:w="280" w:type="dxa"/>
            <w:vAlign w:val="bottom"/>
            <w:tcBorders>
              <w:top w:val="single" w:sz="8" w:color="auto"/>
              <w:bottom w:val="single" w:sz="8" w:color="auto"/>
            </w:tcBorders>
          </w:tcPr>
          <w:p>
            <w:pPr>
              <w:spacing w:after="0"/>
              <w:rPr>
                <w:sz w:val="11"/>
                <w:szCs w:val="11"/>
                <w:color w:val="auto"/>
              </w:rPr>
            </w:pPr>
          </w:p>
        </w:tc>
        <w:tc>
          <w:tcPr>
            <w:tcW w:w="94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5,114,751</w:t>
            </w:r>
          </w:p>
        </w:tc>
        <w:tc>
          <w:tcPr>
            <w:tcW w:w="120" w:type="dxa"/>
            <w:vAlign w:val="bottom"/>
            <w:tcBorders>
              <w:bottom w:val="single" w:sz="8" w:color="CCEEFF"/>
            </w:tcBorders>
          </w:tcPr>
          <w:p>
            <w:pPr>
              <w:spacing w:after="0"/>
              <w:rPr>
                <w:sz w:val="11"/>
                <w:szCs w:val="11"/>
                <w:color w:val="auto"/>
              </w:rPr>
            </w:pPr>
          </w:p>
        </w:tc>
      </w:tr>
      <w:tr>
        <w:trPr>
          <w:trHeight w:val="133"/>
        </w:trPr>
        <w:tc>
          <w:tcPr>
            <w:tcW w:w="5540" w:type="dxa"/>
            <w:vAlign w:val="bottom"/>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Operating Income</w:t>
            </w:r>
          </w:p>
        </w:tc>
        <w:tc>
          <w:tcPr>
            <w:tcW w:w="26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602,498</w:t>
            </w:r>
          </w:p>
        </w:tc>
        <w:tc>
          <w:tcPr>
            <w:tcW w:w="2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560,662</w:t>
            </w:r>
          </w:p>
        </w:tc>
        <w:tc>
          <w:tcPr>
            <w:tcW w:w="2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1,448,470</w:t>
            </w:r>
          </w:p>
        </w:tc>
        <w:tc>
          <w:tcPr>
            <w:tcW w:w="2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1,310,234</w:t>
            </w:r>
          </w:p>
        </w:tc>
        <w:tc>
          <w:tcPr>
            <w:tcW w:w="120" w:type="dxa"/>
            <w:vAlign w:val="bottom"/>
            <w:shd w:val="clear" w:color="auto" w:fill="CCEEFF"/>
          </w:tcPr>
          <w:p>
            <w:pPr>
              <w:spacing w:after="0"/>
              <w:rPr>
                <w:sz w:val="11"/>
                <w:szCs w:val="11"/>
                <w:color w:val="auto"/>
              </w:rPr>
            </w:pPr>
          </w:p>
        </w:tc>
      </w:tr>
      <w:tr>
        <w:trPr>
          <w:trHeight w:val="144"/>
        </w:trPr>
        <w:tc>
          <w:tcPr>
            <w:tcW w:w="55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Interest Expense</w:t>
            </w:r>
          </w:p>
        </w:tc>
        <w:tc>
          <w:tcPr>
            <w:tcW w:w="260" w:type="dxa"/>
            <w:vAlign w:val="bottom"/>
          </w:tcPr>
          <w:p>
            <w:pPr>
              <w:spacing w:after="0"/>
              <w:rPr>
                <w:sz w:val="12"/>
                <w:szCs w:val="12"/>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271,316</w:t>
            </w:r>
          </w:p>
        </w:tc>
        <w:tc>
          <w:tcPr>
            <w:tcW w:w="280" w:type="dxa"/>
            <w:vAlign w:val="bottom"/>
          </w:tcPr>
          <w:p>
            <w:pPr>
              <w:spacing w:after="0"/>
              <w:rPr>
                <w:sz w:val="12"/>
                <w:szCs w:val="12"/>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207,313</w:t>
            </w:r>
          </w:p>
        </w:tc>
        <w:tc>
          <w:tcPr>
            <w:tcW w:w="280" w:type="dxa"/>
            <w:vAlign w:val="bottom"/>
          </w:tcPr>
          <w:p>
            <w:pPr>
              <w:spacing w:after="0"/>
              <w:rPr>
                <w:sz w:val="12"/>
                <w:szCs w:val="12"/>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522,064</w:t>
            </w:r>
          </w:p>
        </w:tc>
        <w:tc>
          <w:tcPr>
            <w:tcW w:w="28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401,858</w:t>
            </w:r>
          </w:p>
        </w:tc>
      </w:tr>
      <w:tr>
        <w:trPr>
          <w:trHeight w:val="144"/>
        </w:trPr>
        <w:tc>
          <w:tcPr>
            <w:tcW w:w="5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Impairment of Offshore Wind Investment</w:t>
            </w:r>
          </w:p>
        </w:tc>
        <w:tc>
          <w:tcPr>
            <w:tcW w:w="2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401,000</w:t>
            </w:r>
          </w:p>
        </w:tc>
        <w:tc>
          <w:tcPr>
            <w:tcW w:w="2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401,000</w:t>
            </w:r>
          </w:p>
        </w:tc>
      </w:tr>
      <w:tr>
        <w:trPr>
          <w:trHeight w:val="153"/>
        </w:trPr>
        <w:tc>
          <w:tcPr>
            <w:tcW w:w="55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Other Income, Net</w:t>
            </w:r>
          </w:p>
        </w:tc>
        <w:tc>
          <w:tcPr>
            <w:tcW w:w="260" w:type="dxa"/>
            <w:vAlign w:val="bottom"/>
          </w:tcPr>
          <w:p>
            <w:pPr>
              <w:spacing w:after="0"/>
              <w:rPr>
                <w:sz w:val="13"/>
                <w:szCs w:val="13"/>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115,285</w:t>
            </w:r>
          </w:p>
        </w:tc>
        <w:tc>
          <w:tcPr>
            <w:tcW w:w="280" w:type="dxa"/>
            <w:vAlign w:val="bottom"/>
          </w:tcPr>
          <w:p>
            <w:pPr>
              <w:spacing w:after="0"/>
              <w:rPr>
                <w:sz w:val="13"/>
                <w:szCs w:val="13"/>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94,875</w:t>
            </w:r>
          </w:p>
        </w:tc>
        <w:tc>
          <w:tcPr>
            <w:tcW w:w="280" w:type="dxa"/>
            <w:vAlign w:val="bottom"/>
          </w:tcPr>
          <w:p>
            <w:pPr>
              <w:spacing w:after="0"/>
              <w:rPr>
                <w:sz w:val="13"/>
                <w:szCs w:val="1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206,315</w:t>
            </w:r>
          </w:p>
        </w:tc>
        <w:tc>
          <w:tcPr>
            <w:tcW w:w="280" w:type="dxa"/>
            <w:vAlign w:val="bottom"/>
          </w:tcPr>
          <w:p>
            <w:pPr>
              <w:spacing w:after="0"/>
              <w:rPr>
                <w:sz w:val="13"/>
                <w:szCs w:val="13"/>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183,857</w:t>
            </w:r>
          </w:p>
        </w:tc>
      </w:tr>
      <w:tr>
        <w:trPr>
          <w:trHeight w:val="133"/>
        </w:trPr>
        <w:tc>
          <w:tcPr>
            <w:tcW w:w="5540" w:type="dxa"/>
            <w:vAlign w:val="bottom"/>
            <w:tcBorders>
              <w:top w:val="single" w:sz="8" w:color="CCEEFF"/>
            </w:tcBorders>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Income Before Income Tax Expense</w:t>
            </w:r>
          </w:p>
        </w:tc>
        <w:tc>
          <w:tcPr>
            <w:tcW w:w="260" w:type="dxa"/>
            <w:vAlign w:val="bottom"/>
            <w:tcBorders>
              <w:top w:val="single" w:sz="8" w:color="auto"/>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446,467</w:t>
            </w:r>
          </w:p>
        </w:tc>
        <w:tc>
          <w:tcPr>
            <w:tcW w:w="24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47,224</w:t>
            </w:r>
          </w:p>
        </w:tc>
        <w:tc>
          <w:tcPr>
            <w:tcW w:w="22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1,132,721</w:t>
            </w:r>
          </w:p>
        </w:tc>
        <w:tc>
          <w:tcPr>
            <w:tcW w:w="22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691,233</w:t>
            </w:r>
          </w:p>
        </w:tc>
        <w:tc>
          <w:tcPr>
            <w:tcW w:w="120" w:type="dxa"/>
            <w:vAlign w:val="bottom"/>
            <w:tcBorders>
              <w:top w:val="single" w:sz="8" w:color="CCEEFF"/>
            </w:tcBorders>
            <w:shd w:val="clear" w:color="auto" w:fill="CCEEFF"/>
          </w:tcPr>
          <w:p>
            <w:pPr>
              <w:spacing w:after="0"/>
              <w:rPr>
                <w:sz w:val="11"/>
                <w:szCs w:val="11"/>
                <w:color w:val="auto"/>
              </w:rPr>
            </w:pPr>
          </w:p>
        </w:tc>
      </w:tr>
      <w:tr>
        <w:trPr>
          <w:trHeight w:val="153"/>
        </w:trPr>
        <w:tc>
          <w:tcPr>
            <w:tcW w:w="55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Income Tax Expense</w:t>
            </w:r>
          </w:p>
        </w:tc>
        <w:tc>
          <w:tcPr>
            <w:tcW w:w="260" w:type="dxa"/>
            <w:vAlign w:val="bottom"/>
          </w:tcPr>
          <w:p>
            <w:pPr>
              <w:spacing w:after="0"/>
              <w:rPr>
                <w:sz w:val="13"/>
                <w:szCs w:val="13"/>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109,246</w:t>
            </w:r>
          </w:p>
        </w:tc>
        <w:tc>
          <w:tcPr>
            <w:tcW w:w="280" w:type="dxa"/>
            <w:vAlign w:val="bottom"/>
          </w:tcPr>
          <w:p>
            <w:pPr>
              <w:spacing w:after="0"/>
              <w:rPr>
                <w:sz w:val="13"/>
                <w:szCs w:val="13"/>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29,922</w:t>
            </w:r>
          </w:p>
        </w:tc>
        <w:tc>
          <w:tcPr>
            <w:tcW w:w="280" w:type="dxa"/>
            <w:vAlign w:val="bottom"/>
          </w:tcPr>
          <w:p>
            <w:pPr>
              <w:spacing w:after="0"/>
              <w:rPr>
                <w:sz w:val="13"/>
                <w:szCs w:val="1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271,772</w:t>
            </w:r>
          </w:p>
        </w:tc>
        <w:tc>
          <w:tcPr>
            <w:tcW w:w="280" w:type="dxa"/>
            <w:vAlign w:val="bottom"/>
          </w:tcPr>
          <w:p>
            <w:pPr>
              <w:spacing w:after="0"/>
              <w:rPr>
                <w:sz w:val="13"/>
                <w:szCs w:val="13"/>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180,893</w:t>
            </w:r>
          </w:p>
        </w:tc>
      </w:tr>
      <w:tr>
        <w:trPr>
          <w:trHeight w:val="133"/>
        </w:trPr>
        <w:tc>
          <w:tcPr>
            <w:tcW w:w="5540" w:type="dxa"/>
            <w:vAlign w:val="bottom"/>
            <w:tcBorders>
              <w:top w:val="single" w:sz="8" w:color="CCEEFF"/>
            </w:tcBorders>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Net Income</w:t>
            </w:r>
          </w:p>
        </w:tc>
        <w:tc>
          <w:tcPr>
            <w:tcW w:w="260" w:type="dxa"/>
            <w:vAlign w:val="bottom"/>
            <w:tcBorders>
              <w:top w:val="single" w:sz="8" w:color="auto"/>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337,221</w:t>
            </w:r>
          </w:p>
        </w:tc>
        <w:tc>
          <w:tcPr>
            <w:tcW w:w="24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17,302</w:t>
            </w:r>
          </w:p>
        </w:tc>
        <w:tc>
          <w:tcPr>
            <w:tcW w:w="22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860,949</w:t>
            </w:r>
          </w:p>
        </w:tc>
        <w:tc>
          <w:tcPr>
            <w:tcW w:w="22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510,340</w:t>
            </w:r>
          </w:p>
        </w:tc>
        <w:tc>
          <w:tcPr>
            <w:tcW w:w="120" w:type="dxa"/>
            <w:vAlign w:val="bottom"/>
            <w:tcBorders>
              <w:top w:val="single" w:sz="8" w:color="CCEEFF"/>
            </w:tcBorders>
            <w:shd w:val="clear" w:color="auto" w:fill="CCEEFF"/>
          </w:tcPr>
          <w:p>
            <w:pPr>
              <w:spacing w:after="0"/>
              <w:rPr>
                <w:sz w:val="11"/>
                <w:szCs w:val="11"/>
                <w:color w:val="auto"/>
              </w:rPr>
            </w:pPr>
          </w:p>
        </w:tc>
      </w:tr>
      <w:tr>
        <w:trPr>
          <w:trHeight w:val="153"/>
        </w:trPr>
        <w:tc>
          <w:tcPr>
            <w:tcW w:w="55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Net Income Attributable to Noncontrolling Interests</w:t>
            </w:r>
          </w:p>
        </w:tc>
        <w:tc>
          <w:tcPr>
            <w:tcW w:w="260" w:type="dxa"/>
            <w:vAlign w:val="bottom"/>
          </w:tcPr>
          <w:p>
            <w:pPr>
              <w:spacing w:after="0"/>
              <w:rPr>
                <w:sz w:val="13"/>
                <w:szCs w:val="13"/>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1,880</w:t>
            </w:r>
          </w:p>
        </w:tc>
        <w:tc>
          <w:tcPr>
            <w:tcW w:w="280" w:type="dxa"/>
            <w:vAlign w:val="bottom"/>
          </w:tcPr>
          <w:p>
            <w:pPr>
              <w:spacing w:after="0"/>
              <w:rPr>
                <w:sz w:val="13"/>
                <w:szCs w:val="13"/>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1,880</w:t>
            </w:r>
          </w:p>
        </w:tc>
        <w:tc>
          <w:tcPr>
            <w:tcW w:w="280" w:type="dxa"/>
            <w:vAlign w:val="bottom"/>
          </w:tcPr>
          <w:p>
            <w:pPr>
              <w:spacing w:after="0"/>
              <w:rPr>
                <w:sz w:val="13"/>
                <w:szCs w:val="1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3,759</w:t>
            </w:r>
          </w:p>
        </w:tc>
        <w:tc>
          <w:tcPr>
            <w:tcW w:w="280" w:type="dxa"/>
            <w:vAlign w:val="bottom"/>
          </w:tcPr>
          <w:p>
            <w:pPr>
              <w:spacing w:after="0"/>
              <w:rPr>
                <w:sz w:val="13"/>
                <w:szCs w:val="13"/>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3,759</w:t>
            </w:r>
          </w:p>
        </w:tc>
      </w:tr>
      <w:tr>
        <w:trPr>
          <w:trHeight w:val="149"/>
        </w:trPr>
        <w:tc>
          <w:tcPr>
            <w:tcW w:w="5540" w:type="dxa"/>
            <w:vAlign w:val="bottom"/>
            <w:tcBorders>
              <w:top w:val="single" w:sz="8" w:color="CCEEFF"/>
              <w:bottom w:val="single" w:sz="8" w:color="CCEEFF"/>
            </w:tcBorders>
            <w:gridSpan w:val="2"/>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Net Income Attributable to Common Shareholders</w:t>
            </w:r>
          </w:p>
        </w:tc>
        <w:tc>
          <w:tcPr>
            <w:tcW w:w="260" w:type="dxa"/>
            <w:vAlign w:val="bottom"/>
            <w:tcBorders>
              <w:top w:val="single" w:sz="8" w:color="auto"/>
              <w:bottom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335,341</w:t>
            </w:r>
          </w:p>
        </w:tc>
        <w:tc>
          <w:tcPr>
            <w:tcW w:w="240" w:type="dxa"/>
            <w:vAlign w:val="bottom"/>
            <w:tcBorders>
              <w:top w:val="single" w:sz="8" w:color="CCEEFF"/>
              <w:bottom w:val="single" w:sz="8" w:color="CCEEFF"/>
            </w:tcBorders>
            <w:shd w:val="clear" w:color="auto" w:fill="CCEEFF"/>
          </w:tcPr>
          <w:p>
            <w:pPr>
              <w:spacing w:after="0"/>
              <w:rPr>
                <w:sz w:val="12"/>
                <w:szCs w:val="12"/>
                <w:color w:val="auto"/>
              </w:rPr>
            </w:pPr>
          </w:p>
        </w:tc>
        <w:tc>
          <w:tcPr>
            <w:tcW w:w="280" w:type="dxa"/>
            <w:vAlign w:val="bottom"/>
            <w:tcBorders>
              <w:top w:val="single" w:sz="8" w:color="auto"/>
              <w:bottom w:val="single" w:sz="8" w:color="auto"/>
            </w:tcBorders>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15,422</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280" w:type="dxa"/>
            <w:vAlign w:val="bottom"/>
            <w:tcBorders>
              <w:top w:val="single" w:sz="8" w:color="auto"/>
              <w:bottom w:val="single" w:sz="8" w:color="auto"/>
            </w:tcBorders>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857,190</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280" w:type="dxa"/>
            <w:vAlign w:val="bottom"/>
            <w:tcBorders>
              <w:top w:val="single" w:sz="8" w:color="auto"/>
              <w:bottom w:val="single" w:sz="8" w:color="auto"/>
            </w:tcBorders>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506,581</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r>
      <w:tr>
        <w:trPr>
          <w:trHeight w:val="144"/>
        </w:trPr>
        <w:tc>
          <w:tcPr>
            <w:tcW w:w="5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9"/>
        </w:trPr>
        <w:tc>
          <w:tcPr>
            <w:tcW w:w="5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Basic Earnings Per Common Share</w:t>
            </w: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0.95</w:t>
            </w:r>
          </w:p>
        </w:tc>
        <w:tc>
          <w:tcPr>
            <w:tcW w:w="28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0.04</w:t>
            </w:r>
          </w:p>
        </w:tc>
        <w:tc>
          <w:tcPr>
            <w:tcW w:w="28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2.44</w:t>
            </w:r>
          </w:p>
        </w:tc>
        <w:tc>
          <w:tcPr>
            <w:tcW w:w="28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1.45</w:t>
            </w:r>
          </w:p>
        </w:tc>
      </w:tr>
      <w:tr>
        <w:trPr>
          <w:trHeight w:val="144"/>
        </w:trPr>
        <w:tc>
          <w:tcPr>
            <w:tcW w:w="542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r>
      <w:tr>
        <w:trPr>
          <w:trHeight w:val="169"/>
        </w:trPr>
        <w:tc>
          <w:tcPr>
            <w:tcW w:w="5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Diluted Earnings Per Common Share</w:t>
            </w: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0.95</w:t>
            </w:r>
          </w:p>
        </w:tc>
        <w:tc>
          <w:tcPr>
            <w:tcW w:w="28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0.04</w:t>
            </w:r>
          </w:p>
        </w:tc>
        <w:tc>
          <w:tcPr>
            <w:tcW w:w="28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2.43</w:t>
            </w:r>
          </w:p>
        </w:tc>
        <w:tc>
          <w:tcPr>
            <w:tcW w:w="28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1.45</w:t>
            </w:r>
          </w:p>
        </w:tc>
      </w:tr>
      <w:tr>
        <w:trPr>
          <w:trHeight w:val="144"/>
        </w:trPr>
        <w:tc>
          <w:tcPr>
            <w:tcW w:w="542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r>
      <w:tr>
        <w:trPr>
          <w:trHeight w:val="144"/>
        </w:trPr>
        <w:tc>
          <w:tcPr>
            <w:tcW w:w="5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Weighted Average Common Shares Outstanding:</w:t>
            </w:r>
          </w:p>
        </w:tc>
        <w:tc>
          <w:tcPr>
            <w:tcW w:w="2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69"/>
        </w:trPr>
        <w:tc>
          <w:tcPr>
            <w:tcW w:w="554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Basic</w:t>
            </w:r>
          </w:p>
        </w:tc>
        <w:tc>
          <w:tcPr>
            <w:tcW w:w="260" w:type="dxa"/>
            <w:vAlign w:val="bottom"/>
          </w:tcPr>
          <w:p>
            <w:pPr>
              <w:spacing w:after="0"/>
              <w:rPr>
                <w:sz w:val="14"/>
                <w:szCs w:val="14"/>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353,212,378</w:t>
            </w:r>
          </w:p>
        </w:tc>
        <w:tc>
          <w:tcPr>
            <w:tcW w:w="280" w:type="dxa"/>
            <w:vAlign w:val="bottom"/>
          </w:tcPr>
          <w:p>
            <w:pPr>
              <w:spacing w:after="0"/>
              <w:rPr>
                <w:sz w:val="14"/>
                <w:szCs w:val="14"/>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349,462,359</w:t>
            </w:r>
          </w:p>
        </w:tc>
        <w:tc>
          <w:tcPr>
            <w:tcW w:w="280" w:type="dxa"/>
            <w:vAlign w:val="bottom"/>
          </w:tcPr>
          <w:p>
            <w:pPr>
              <w:spacing w:after="0"/>
              <w:rPr>
                <w:sz w:val="14"/>
                <w:szCs w:val="14"/>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351,964,747</w:t>
            </w:r>
          </w:p>
        </w:tc>
        <w:tc>
          <w:tcPr>
            <w:tcW w:w="28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349,339,752</w:t>
            </w:r>
          </w:p>
        </w:tc>
      </w:tr>
      <w:tr>
        <w:trPr>
          <w:trHeight w:val="151"/>
        </w:trPr>
        <w:tc>
          <w:tcPr>
            <w:tcW w:w="5540" w:type="dxa"/>
            <w:vAlign w:val="bottom"/>
            <w:tcBorders>
              <w:top w:val="single" w:sz="8" w:color="CCEEFF"/>
              <w:bottom w:val="single" w:sz="8" w:color="CCEEFF"/>
            </w:tcBorders>
            <w:gridSpan w:val="2"/>
            <w:shd w:val="clear" w:color="auto" w:fill="CCEEFF"/>
          </w:tcPr>
          <w:p>
            <w:pPr>
              <w:ind w:left="80"/>
              <w:spacing w:after="0" w:line="137" w:lineRule="exact"/>
              <w:rPr>
                <w:sz w:val="20"/>
                <w:szCs w:val="20"/>
                <w:color w:val="auto"/>
              </w:rPr>
            </w:pPr>
            <w:r>
              <w:rPr>
                <w:rFonts w:ascii="Times New Roman" w:cs="Times New Roman" w:eastAsia="Times New Roman" w:hAnsi="Times New Roman"/>
                <w:sz w:val="12"/>
                <w:szCs w:val="12"/>
                <w:color w:val="auto"/>
              </w:rPr>
              <w:t>Diluted</w:t>
            </w:r>
          </w:p>
        </w:tc>
        <w:tc>
          <w:tcPr>
            <w:tcW w:w="260" w:type="dxa"/>
            <w:vAlign w:val="bottom"/>
            <w:tcBorders>
              <w:top w:val="single" w:sz="8" w:color="auto"/>
              <w:bottom w:val="single" w:sz="8" w:color="auto"/>
            </w:tcBorders>
            <w:shd w:val="clear" w:color="auto" w:fill="CCEEFF"/>
          </w:tcPr>
          <w:p>
            <w:pPr>
              <w:spacing w:after="0"/>
              <w:rPr>
                <w:sz w:val="13"/>
                <w:szCs w:val="13"/>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353,419,658</w:t>
            </w:r>
          </w:p>
        </w:tc>
        <w:tc>
          <w:tcPr>
            <w:tcW w:w="240" w:type="dxa"/>
            <w:vAlign w:val="bottom"/>
            <w:tcBorders>
              <w:top w:val="single" w:sz="8" w:color="CCEEFF"/>
              <w:bottom w:val="single" w:sz="8" w:color="CCEEFF"/>
            </w:tcBorders>
            <w:shd w:val="clear" w:color="auto" w:fill="CCEEFF"/>
          </w:tcPr>
          <w:p>
            <w:pPr>
              <w:spacing w:after="0"/>
              <w:rPr>
                <w:sz w:val="13"/>
                <w:szCs w:val="13"/>
                <w:color w:val="auto"/>
              </w:rPr>
            </w:pPr>
          </w:p>
        </w:tc>
        <w:tc>
          <w:tcPr>
            <w:tcW w:w="280" w:type="dxa"/>
            <w:vAlign w:val="bottom"/>
            <w:tcBorders>
              <w:top w:val="single" w:sz="8" w:color="auto"/>
              <w:bottom w:val="single" w:sz="8" w:color="auto"/>
            </w:tcBorders>
            <w:shd w:val="clear" w:color="auto" w:fill="CCEEFF"/>
          </w:tcPr>
          <w:p>
            <w:pPr>
              <w:spacing w:after="0"/>
              <w:rPr>
                <w:sz w:val="13"/>
                <w:szCs w:val="13"/>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349,729,982</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280" w:type="dxa"/>
            <w:vAlign w:val="bottom"/>
            <w:tcBorders>
              <w:top w:val="single" w:sz="8" w:color="auto"/>
              <w:bottom w:val="single" w:sz="8" w:color="auto"/>
            </w:tcBorders>
            <w:shd w:val="clear" w:color="auto" w:fill="CCEEFF"/>
          </w:tcPr>
          <w:p>
            <w:pPr>
              <w:spacing w:after="0"/>
              <w:rPr>
                <w:sz w:val="13"/>
                <w:szCs w:val="13"/>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352,208,440</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280" w:type="dxa"/>
            <w:vAlign w:val="bottom"/>
            <w:tcBorders>
              <w:top w:val="single" w:sz="8" w:color="auto"/>
              <w:bottom w:val="single" w:sz="8" w:color="auto"/>
            </w:tcBorders>
            <w:shd w:val="clear" w:color="auto" w:fill="CCEEFF"/>
          </w:tcPr>
          <w:p>
            <w:pPr>
              <w:spacing w:after="0"/>
              <w:rPr>
                <w:sz w:val="13"/>
                <w:szCs w:val="13"/>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349,670,996</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r>
    </w:tbl>
    <w:p>
      <w:pPr>
        <w:spacing w:after="0" w:line="144"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4"/>
          <w:szCs w:val="14"/>
          <w:color w:val="auto"/>
        </w:rPr>
        <w:t>The data contained in this report is preliminary and is unaudited. This report is being submitted for the sole purpose of providing information to shareholders about Eversource Energy and Subsidiaries and is not a representation, prospectus, or intended for use in connection with any purchase or sale of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274320</wp:posOffset>
            </wp:positionV>
            <wp:extent cx="7178040" cy="5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81" w:right="299" w:bottom="1440" w:gutter="0" w:footer="0" w:header="0"/>
        </w:sectPr>
      </w:pPr>
    </w:p>
    <w:bookmarkStart w:id="10" w:name="page11"/>
    <w:bookmarkEnd w:id="10"/>
    <w:p>
      <w:pPr>
        <w:ind w:left="9420"/>
        <w:spacing w:after="0"/>
        <w:rPr>
          <w:sz w:val="20"/>
          <w:szCs w:val="20"/>
          <w:color w:val="auto"/>
        </w:rPr>
      </w:pPr>
      <w:r>
        <w:rPr>
          <w:rFonts w:ascii="Times New Roman" w:cs="Times New Roman" w:eastAsia="Times New Roman" w:hAnsi="Times New Roman"/>
          <w:sz w:val="14"/>
          <w:szCs w:val="14"/>
          <w:b w:val="1"/>
          <w:bCs w:val="1"/>
          <w:color w:val="auto"/>
        </w:rPr>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116205</wp:posOffset>
            </wp:positionV>
            <wp:extent cx="7218680" cy="43834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0" w:num="1">
            <w:col w:w="10160"/>
          </w:cols>
          <w:pgMar w:left="1440" w:top="281" w:right="299" w:bottom="1440"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948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8680" cy="4394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4706620</wp:posOffset>
            </wp:positionV>
            <wp:extent cx="7178040" cy="57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2024-07-31T15:55:14Z</dcterms:created>
  <dcterms:modified xsi:type="dcterms:W3CDTF">2024-07-31T15:55:14Z</dcterms:modified>
</cp:coreProperties>
</file>