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May 1, 2024 (May 1, 2024)</w:t>
      </w:r>
    </w:p>
    <w:p>
      <w:pPr>
        <w:spacing w:after="0" w:line="139" w:lineRule="exact"/>
        <w:rPr>
          <w:sz w:val="24"/>
          <w:szCs w:val="24"/>
          <w:color w:val="auto"/>
        </w:rPr>
      </w:pPr>
    </w:p>
    <w:tbl>
      <w:tblPr>
        <w:tblLayout w:type="fixed"/>
        <w:tblInd w:w="608" w:type="dxa"/>
        <w:tblCellMar>
          <w:top w:w="0" w:type="dxa"/>
          <w:left w:w="0" w:type="dxa"/>
          <w:bottom w:w="0" w:type="dxa"/>
          <w:right w:w="0" w:type="dxa"/>
        </w:tblCellMar>
      </w:tblPr>
      <w:tr>
        <w:trPr>
          <w:trHeight w:val="144"/>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w w:val="95"/>
              </w:rPr>
              <w:t>Commission</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Registrant; State of Incorporation</w:t>
            </w:r>
          </w:p>
        </w:tc>
        <w:tc>
          <w:tcPr>
            <w:tcW w:w="1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28"/>
        </w:trPr>
        <w:tc>
          <w:tcPr>
            <w:tcW w:w="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w w:val="95"/>
              </w:rPr>
              <w:t>File Number</w:t>
            </w:r>
          </w:p>
        </w:tc>
        <w:tc>
          <w:tcPr>
            <w:tcW w:w="3540" w:type="dxa"/>
            <w:vAlign w:val="bottom"/>
          </w:tcPr>
          <w:p>
            <w:pPr>
              <w:spacing w:after="0"/>
              <w:rPr>
                <w:sz w:val="11"/>
                <w:szCs w:val="11"/>
                <w:color w:val="auto"/>
              </w:rPr>
            </w:pPr>
          </w:p>
        </w:tc>
        <w:tc>
          <w:tcPr>
            <w:tcW w:w="4020" w:type="dxa"/>
            <w:vAlign w:val="bottom"/>
            <w:gridSpan w:val="2"/>
          </w:tcPr>
          <w:p>
            <w:pPr>
              <w:jc w:val="center"/>
              <w:ind w:right="2440"/>
              <w:spacing w:after="0" w:line="128" w:lineRule="exact"/>
              <w:rPr>
                <w:sz w:val="20"/>
                <w:szCs w:val="20"/>
                <w:color w:val="auto"/>
              </w:rPr>
            </w:pPr>
            <w:r>
              <w:rPr>
                <w:rFonts w:ascii="Times New Roman" w:cs="Times New Roman" w:eastAsia="Times New Roman" w:hAnsi="Times New Roman"/>
                <w:sz w:val="12"/>
                <w:szCs w:val="12"/>
                <w:color w:val="auto"/>
                <w:w w:val="99"/>
              </w:rPr>
              <w:t>Address; and Telephone Number</w:t>
            </w:r>
          </w:p>
        </w:tc>
        <w:tc>
          <w:tcPr>
            <w:tcW w:w="1940" w:type="dxa"/>
            <w:vAlign w:val="bottom"/>
            <w:gridSpan w:val="2"/>
          </w:tcPr>
          <w:p>
            <w:pPr>
              <w:jc w:val="center"/>
              <w:ind w:left="1040"/>
              <w:spacing w:after="0" w:line="128" w:lineRule="exact"/>
              <w:rPr>
                <w:sz w:val="20"/>
                <w:szCs w:val="20"/>
                <w:color w:val="auto"/>
              </w:rPr>
            </w:pPr>
            <w:r>
              <w:rPr>
                <w:rFonts w:ascii="Times New Roman" w:cs="Times New Roman" w:eastAsia="Times New Roman" w:hAnsi="Times New Roman"/>
                <w:sz w:val="12"/>
                <w:szCs w:val="12"/>
                <w:color w:val="auto"/>
                <w:w w:val="98"/>
              </w:rPr>
              <w:t>Identification No.</w:t>
            </w:r>
          </w:p>
        </w:tc>
      </w:tr>
      <w:tr>
        <w:trPr>
          <w:trHeight w:val="20"/>
        </w:trPr>
        <w:tc>
          <w:tcPr>
            <w:tcW w:w="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338"/>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1-5324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9"/>
              </w:rPr>
              <w:t>EVERSOURCE ENERGY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04-2147929</w:t>
            </w: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(a Massachusetts voluntary association)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300 Cadwell Drive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Springfield, Massachusetts 01104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0-00404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8"/>
              </w:rPr>
              <w:t>THE CONNECTICUT LIGHT AND POWER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06-0303850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Connecticut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107 Selden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Berlin, Connecticut 06037-1616</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1-02301</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7"/>
              </w:rPr>
              <w:t>NSTAR ELECTRIC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04-1278810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20"/>
              <w:spacing w:after="0"/>
              <w:rPr>
                <w:sz w:val="20"/>
                <w:szCs w:val="20"/>
                <w:color w:val="auto"/>
              </w:rPr>
            </w:pPr>
            <w:r>
              <w:rPr>
                <w:rFonts w:ascii="Times New Roman" w:cs="Times New Roman" w:eastAsia="Times New Roman" w:hAnsi="Times New Roman"/>
                <w:sz w:val="12"/>
                <w:szCs w:val="12"/>
                <w:color w:val="auto"/>
                <w:w w:val="99"/>
              </w:rPr>
              <w:t>(a Massachusetts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800 Boylston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Boston, Massachusetts 02199</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1-6392</w:t>
            </w:r>
          </w:p>
        </w:tc>
        <w:tc>
          <w:tcPr>
            <w:tcW w:w="7560" w:type="dxa"/>
            <w:vAlign w:val="bottom"/>
            <w:gridSpan w:val="3"/>
          </w:tcPr>
          <w:p>
            <w:pPr>
              <w:jc w:val="center"/>
              <w:ind w:left="1048"/>
              <w:spacing w:after="0"/>
              <w:rPr>
                <w:sz w:val="20"/>
                <w:szCs w:val="20"/>
                <w:color w:val="auto"/>
              </w:rPr>
            </w:pPr>
            <w:r>
              <w:rPr>
                <w:rFonts w:ascii="Times New Roman" w:cs="Times New Roman" w:eastAsia="Times New Roman" w:hAnsi="Times New Roman"/>
                <w:sz w:val="17"/>
                <w:szCs w:val="17"/>
                <w:b w:val="1"/>
                <w:bCs w:val="1"/>
                <w:color w:val="auto"/>
                <w:w w:val="98"/>
              </w:rPr>
              <w:t>PUBLIC SERVICE COMPANY OF NEW HAMPSHIRE</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02-0181050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New Hampshire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7"/>
              </w:rPr>
              <w:t>Energy Park</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780 North Commercial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Manchester, New Hampshire 03101-1134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1840" w:type="dxa"/>
            <w:vAlign w:val="bottom"/>
            <w:gridSpan w:val="4"/>
            <w:vMerge w:val="restart"/>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w w:val="98"/>
              </w:rPr>
              <w:t>Name of each exchange on</w:t>
            </w:r>
          </w:p>
        </w:tc>
        <w:tc>
          <w:tcPr>
            <w:tcW w:w="0" w:type="dxa"/>
            <w:vAlign w:val="bottom"/>
          </w:tcPr>
          <w:p>
            <w:pPr>
              <w:spacing w:after="0"/>
              <w:rPr>
                <w:sz w:val="1"/>
                <w:szCs w:val="1"/>
                <w:color w:val="auto"/>
              </w:rPr>
            </w:pPr>
          </w:p>
        </w:tc>
      </w:tr>
      <w:tr>
        <w:trPr>
          <w:trHeight w:val="117"/>
        </w:trPr>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6"/>
              </w:rPr>
              <w:t>Registrant</w:t>
            </w:r>
          </w:p>
        </w:tc>
        <w:tc>
          <w:tcPr>
            <w:tcW w:w="3620" w:type="dxa"/>
            <w:vAlign w:val="bottom"/>
            <w:vMerge w:val="restart"/>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940" w:type="dxa"/>
            <w:vAlign w:val="bottom"/>
            <w:gridSpan w:val="2"/>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940" w:type="dxa"/>
            <w:vAlign w:val="bottom"/>
            <w:gridSpan w:val="2"/>
          </w:tcPr>
          <w:p>
            <w:pPr>
              <w:jc w:val="center"/>
              <w:ind w:right="480"/>
              <w:spacing w:after="0" w:line="124" w:lineRule="exact"/>
              <w:rPr>
                <w:sz w:val="20"/>
                <w:szCs w:val="20"/>
                <w:color w:val="auto"/>
              </w:rPr>
            </w:pPr>
            <w:r>
              <w:rPr>
                <w:rFonts w:ascii="Times New Roman" w:cs="Times New Roman" w:eastAsia="Times New Roman" w:hAnsi="Times New Roman"/>
                <w:sz w:val="12"/>
                <w:szCs w:val="12"/>
                <w:b w:val="1"/>
                <w:bCs w:val="1"/>
                <w:color w:val="auto"/>
                <w:w w:val="89"/>
              </w:rPr>
              <w:t>Symbol(s)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which registered</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3660" w:type="dxa"/>
            <w:vAlign w:val="bottom"/>
            <w:gridSpan w:val="3"/>
          </w:tcPr>
          <w:p>
            <w:pPr>
              <w:jc w:val="center"/>
              <w:ind w:left="820"/>
              <w:spacing w:after="0"/>
              <w:rPr>
                <w:sz w:val="20"/>
                <w:szCs w:val="20"/>
                <w:color w:val="auto"/>
              </w:rPr>
            </w:pPr>
            <w:r>
              <w:rPr>
                <w:rFonts w:ascii="Times New Roman" w:cs="Times New Roman" w:eastAsia="Times New Roman" w:hAnsi="Times New Roman"/>
                <w:sz w:val="12"/>
                <w:szCs w:val="12"/>
                <w:color w:val="auto"/>
                <w:w w:val="99"/>
              </w:rPr>
              <w:t>Common Shares, $5.00 par value per share</w:t>
            </w: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color w:val="auto"/>
                <w:w w:val="99"/>
              </w:rPr>
              <w:t>ES</w:t>
            </w:r>
          </w:p>
        </w:tc>
        <w:tc>
          <w:tcPr>
            <w:tcW w:w="500" w:type="dxa"/>
            <w:vAlign w:val="bottom"/>
          </w:tcPr>
          <w:p>
            <w:pPr>
              <w:spacing w:after="0"/>
              <w:rPr>
                <w:sz w:val="12"/>
                <w:szCs w:val="12"/>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5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1820" w:type="dxa"/>
            <w:vAlign w:val="bottom"/>
          </w:tcPr>
          <w:p>
            <w:pPr>
              <w:spacing w:after="0"/>
              <w:rPr>
                <w:sz w:val="13"/>
                <w:szCs w:val="13"/>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49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Emerging growth</w:t>
            </w:r>
          </w:p>
        </w:tc>
        <w:tc>
          <w:tcPr>
            <w:tcW w:w="0" w:type="dxa"/>
            <w:vAlign w:val="bottom"/>
          </w:tcPr>
          <w:p>
            <w:pPr>
              <w:spacing w:after="0"/>
              <w:rPr>
                <w:sz w:val="1"/>
                <w:szCs w:val="1"/>
                <w:color w:val="auto"/>
              </w:rPr>
            </w:pPr>
          </w:p>
        </w:tc>
      </w:tr>
      <w:tr>
        <w:trPr>
          <w:trHeight w:val="159"/>
        </w:trPr>
        <w:tc>
          <w:tcPr>
            <w:tcW w:w="4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0" w:type="dxa"/>
            <w:vAlign w:val="bottom"/>
          </w:tcPr>
          <w:p>
            <w:pPr>
              <w:spacing w:after="0"/>
              <w:rPr>
                <w:sz w:val="1"/>
                <w:szCs w:val="1"/>
                <w:color w:val="auto"/>
              </w:rPr>
            </w:pPr>
          </w:p>
        </w:tc>
      </w:tr>
      <w:tr>
        <w:trPr>
          <w:trHeight w:val="97"/>
        </w:trPr>
        <w:tc>
          <w:tcPr>
            <w:tcW w:w="4980" w:type="dxa"/>
            <w:vAlign w:val="bottom"/>
            <w:vMerge w:val="continue"/>
          </w:tcPr>
          <w:p>
            <w:pPr>
              <w:spacing w:after="0"/>
              <w:rPr>
                <w:sz w:val="8"/>
                <w:szCs w:val="8"/>
                <w:color w:val="auto"/>
              </w:rPr>
            </w:pPr>
          </w:p>
        </w:tc>
        <w:tc>
          <w:tcPr>
            <w:tcW w:w="2360" w:type="dxa"/>
            <w:vAlign w:val="bottom"/>
          </w:tcPr>
          <w:p>
            <w:pPr>
              <w:jc w:val="center"/>
              <w:spacing w:after="0" w:line="98"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35"/>
        </w:trPr>
        <w:tc>
          <w:tcPr>
            <w:tcW w:w="4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The Connecticut Light and Power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tbl>
      <w:tblPr>
        <w:tblLayout w:type="fixed"/>
        <w:tblInd w:w="8" w:type="dxa"/>
        <w:tblCellMar>
          <w:top w:w="0" w:type="dxa"/>
          <w:left w:w="0" w:type="dxa"/>
          <w:bottom w:w="0" w:type="dxa"/>
          <w:right w:w="0" w:type="dxa"/>
        </w:tblCellMar>
      </w:tblPr>
      <w:tr>
        <w:trPr>
          <w:trHeight w:val="147"/>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201"/>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1"/>
        </w:trPr>
        <w:tc>
          <w:tcPr>
            <w:tcW w:w="4120" w:type="dxa"/>
            <w:vAlign w:val="bottom"/>
            <w:tcBorders>
              <w:bottom w:val="single" w:sz="8" w:color="auto"/>
            </w:tcBorders>
          </w:tcPr>
          <w:p>
            <w:pPr>
              <w:spacing w:after="0"/>
              <w:rPr>
                <w:sz w:val="12"/>
                <w:szCs w:val="12"/>
                <w:color w:val="auto"/>
              </w:rPr>
            </w:pPr>
          </w:p>
        </w:tc>
        <w:tc>
          <w:tcPr>
            <w:tcW w:w="7180" w:type="dxa"/>
            <w:vAlign w:val="bottom"/>
            <w:tcBorders>
              <w:bottom w:val="single" w:sz="8" w:color="auto"/>
            </w:tcBorders>
          </w:tcPr>
          <w:p>
            <w:pPr>
              <w:spacing w:after="0"/>
              <w:rPr>
                <w:sz w:val="12"/>
                <w:szCs w:val="1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r>
      <w:tr>
        <w:trPr>
          <w:trHeight w:val="453"/>
        </w:trPr>
        <w:tc>
          <w:tcPr>
            <w:tcW w:w="41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382" w:right="2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0"/>
          <w:szCs w:val="10"/>
          <w:color w:val="auto"/>
        </w:rPr>
        <w:t> </w:t>
      </w:r>
    </w:p>
    <w:p>
      <w:pPr>
        <w:sectPr>
          <w:pgSz w:w="11900" w:h="16838" w:orient="portrait"/>
          <w:cols w:equalWidth="0" w:num="1">
            <w:col w:w="11300"/>
          </w:cols>
          <w:pgMar w:left="300" w:top="507" w:right="299" w:bottom="1440" w:gutter="0" w:footer="0" w:header="0"/>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Section 2</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Financial Information</w:t>
      </w:r>
    </w:p>
    <w:p>
      <w:pPr>
        <w:spacing w:after="0" w:line="18" w:lineRule="exact"/>
        <w:rPr>
          <w:sz w:val="20"/>
          <w:szCs w:val="20"/>
          <w:color w:val="auto"/>
        </w:rPr>
      </w:pPr>
    </w:p>
    <w:p>
      <w:pPr>
        <w:sectPr>
          <w:pgSz w:w="11900" w:h="16838" w:orient="portrait"/>
          <w:cols w:equalWidth="0" w:num="2">
            <w:col w:w="460" w:space="400"/>
            <w:col w:w="10440"/>
          </w:cols>
          <w:pgMar w:left="300" w:top="50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0"/>
          <w:szCs w:val="10"/>
          <w:color w:val="auto"/>
        </w:rPr>
        <w:t> </w:t>
      </w:r>
    </w:p>
    <w:p>
      <w:pPr>
        <w:sectPr>
          <w:pgSz w:w="11900" w:h="16838" w:orient="portrait"/>
          <w:cols w:equalWidth="0" w:num="1">
            <w:col w:w="11300"/>
          </w:cols>
          <w:pgMar w:left="300" w:top="507" w:right="2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2.02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Results of Operations and Financial Conditions.</w:t>
      </w:r>
    </w:p>
    <w:p>
      <w:pPr>
        <w:spacing w:after="0" w:line="18" w:lineRule="exact"/>
        <w:rPr>
          <w:sz w:val="20"/>
          <w:szCs w:val="20"/>
          <w:color w:val="auto"/>
        </w:rPr>
      </w:pPr>
    </w:p>
    <w:p>
      <w:pPr>
        <w:sectPr>
          <w:pgSz w:w="11900" w:h="16838" w:orient="portrait"/>
          <w:cols w:equalWidth="0" w:num="2">
            <w:col w:w="480" w:space="380"/>
            <w:col w:w="10440"/>
          </w:cols>
          <w:pgMar w:left="300" w:top="50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0"/>
          <w:szCs w:val="10"/>
          <w:color w:val="auto"/>
        </w:rPr>
        <w:t> </w:t>
      </w:r>
    </w:p>
    <w:p>
      <w:pPr>
        <w:sectPr>
          <w:pgSz w:w="11900" w:h="16838" w:orient="portrait"/>
          <w:cols w:equalWidth="0" w:num="1">
            <w:col w:w="11300"/>
          </w:cols>
          <w:pgMar w:left="300" w:top="507" w:right="299" w:bottom="1440" w:gutter="0" w:footer="0" w:header="0"/>
          <w:type w:val="continuous"/>
        </w:sectPr>
      </w:pPr>
    </w:p>
    <w:p>
      <w:pPr>
        <w:spacing w:after="0" w:line="29" w:lineRule="exact"/>
        <w:rPr>
          <w:sz w:val="20"/>
          <w:szCs w:val="20"/>
          <w:color w:val="auto"/>
        </w:rPr>
      </w:pPr>
    </w:p>
    <w:p>
      <w:pPr>
        <w:ind w:right="420" w:firstLine="432"/>
        <w:spacing w:after="0" w:line="260" w:lineRule="auto"/>
        <w:rPr>
          <w:sz w:val="20"/>
          <w:szCs w:val="20"/>
          <w:color w:val="auto"/>
        </w:rPr>
      </w:pPr>
      <w:r>
        <w:rPr>
          <w:rFonts w:ascii="Times New Roman" w:cs="Times New Roman" w:eastAsia="Times New Roman" w:hAnsi="Times New Roman"/>
          <w:sz w:val="12"/>
          <w:szCs w:val="12"/>
          <w:color w:val="auto"/>
        </w:rPr>
        <w:t>On May 1, 2024, Eversource Energy (the “Company”) issued a news release announcing its unaudited results of operations for the three months ended March 31, 2024, and related financial information for certain of its subsidiaries as of and for the same period. A copy of the news release and related unaudited financial reports are attached as Exhibits 99.1 and 99.2, and are incorporated herein by reference thereto.  </w:t>
      </w:r>
    </w:p>
    <w:p>
      <w:pPr>
        <w:spacing w:after="0" w:line="133" w:lineRule="exact"/>
        <w:rPr>
          <w:sz w:val="20"/>
          <w:szCs w:val="20"/>
          <w:color w:val="auto"/>
        </w:rPr>
      </w:pPr>
    </w:p>
    <w:p>
      <w:pPr>
        <w:ind w:right="240" w:firstLine="432"/>
        <w:spacing w:after="0" w:line="260"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Exhibits 99.1 and 99.2, shall not be deemed “filed” with the Securities and Exchange Commission (“SEC”) nor incorporated by reference in any registration statement filed by Eversource Energy or any subsidiary thereof under the Securities Act of 1933, as amended (the “Securities Act”), unless specified otherwise.  </w:t>
      </w:r>
    </w:p>
    <w:p>
      <w:pPr>
        <w:spacing w:after="0" w:line="13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5.07</w:t>
      </w:r>
      <w:r>
        <w:rPr>
          <w:sz w:val="20"/>
          <w:szCs w:val="20"/>
          <w:color w:val="auto"/>
        </w:rPr>
        <w:tab/>
      </w:r>
      <w:r>
        <w:rPr>
          <w:rFonts w:ascii="Times New Roman" w:cs="Times New Roman" w:eastAsia="Times New Roman" w:hAnsi="Times New Roman"/>
          <w:sz w:val="11"/>
          <w:szCs w:val="11"/>
          <w:b w:val="1"/>
          <w:bCs w:val="1"/>
          <w:color w:val="auto"/>
        </w:rPr>
        <w:t>Submission of Matters to a Vote of Security Holders.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On May 1, 2024, the Company held its 2024 Annual Meeting of Shareholders.</w:t>
      </w:r>
    </w:p>
    <w:p>
      <w:pPr>
        <w:spacing w:after="0" w:line="139" w:lineRule="exact"/>
        <w:rPr>
          <w:sz w:val="20"/>
          <w:szCs w:val="20"/>
          <w:color w:val="auto"/>
        </w:rPr>
      </w:pPr>
    </w:p>
    <w:p>
      <w:pPr>
        <w:ind w:right="360" w:firstLine="432"/>
        <w:spacing w:after="0" w:line="279" w:lineRule="auto"/>
        <w:rPr>
          <w:sz w:val="20"/>
          <w:szCs w:val="20"/>
          <w:color w:val="auto"/>
        </w:rPr>
      </w:pPr>
      <w:r>
        <w:rPr>
          <w:rFonts w:ascii="Times New Roman" w:cs="Times New Roman" w:eastAsia="Times New Roman" w:hAnsi="Times New Roman"/>
          <w:sz w:val="12"/>
          <w:szCs w:val="12"/>
          <w:color w:val="auto"/>
        </w:rPr>
        <w:t>(b)           Shareholders voted on the proposals set forth below. For more information on the following proposals, see the Company’s Proxy Statement dated March 22, 2024. On March 5, 2024, the record date for the Annual Meeting, there were 350,726,912 common shares outstanding and entitled to vote. At the Annual Meeting, 313,264,160 common shares were represented, in person or by proxy, constituting a quorum.</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           Election of Trustees. The shareholders elected each of the nine nominees to the Board of Trustees for a one-year term by a majority of the outstanding common shares:</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214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Trustee</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5"/>
              </w:rPr>
              <w:t>For</w:t>
            </w:r>
          </w:p>
        </w:tc>
        <w:tc>
          <w:tcPr>
            <w:tcW w:w="2040" w:type="dxa"/>
            <w:vAlign w:val="bottom"/>
            <w:gridSpan w:val="2"/>
          </w:tcPr>
          <w:p>
            <w:pPr>
              <w:ind w:left="740"/>
              <w:spacing w:after="0"/>
              <w:rPr>
                <w:sz w:val="20"/>
                <w:szCs w:val="20"/>
                <w:color w:val="auto"/>
              </w:rPr>
            </w:pPr>
            <w:r>
              <w:rPr>
                <w:rFonts w:ascii="Times New Roman" w:cs="Times New Roman" w:eastAsia="Times New Roman" w:hAnsi="Times New Roman"/>
                <w:sz w:val="12"/>
                <w:szCs w:val="12"/>
                <w:color w:val="auto"/>
              </w:rPr>
              <w:t>Against</w:t>
            </w:r>
          </w:p>
        </w:tc>
        <w:tc>
          <w:tcPr>
            <w:tcW w:w="202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Abstained</w:t>
            </w: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Broker Non-Votes</w:t>
            </w:r>
          </w:p>
        </w:tc>
      </w:tr>
      <w:tr>
        <w:trPr>
          <w:trHeight w:val="138"/>
        </w:trPr>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Cotton M. Cleveland</w:t>
            </w:r>
          </w:p>
        </w:tc>
        <w:tc>
          <w:tcPr>
            <w:tcW w:w="20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247,624,956</w:t>
            </w:r>
          </w:p>
        </w:tc>
        <w:tc>
          <w:tcPr>
            <w:tcW w:w="20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36,292,337</w:t>
            </w:r>
          </w:p>
        </w:tc>
        <w:tc>
          <w:tcPr>
            <w:tcW w:w="2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828,531</w:t>
            </w:r>
          </w:p>
        </w:tc>
        <w:tc>
          <w:tcPr>
            <w:tcW w:w="20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28,518,334</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Linda Dorcena Forry</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279,341,554</w:t>
            </w:r>
          </w:p>
        </w:tc>
        <w:tc>
          <w:tcPr>
            <w:tcW w:w="200" w:type="dxa"/>
            <w:vAlign w:val="bottom"/>
          </w:tcPr>
          <w:p>
            <w:pPr>
              <w:spacing w:after="0"/>
              <w:rPr>
                <w:sz w:val="12"/>
                <w:szCs w:val="12"/>
                <w:color w:val="auto"/>
              </w:rPr>
            </w:pPr>
          </w:p>
        </w:tc>
        <w:tc>
          <w:tcPr>
            <w:tcW w:w="184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4,556,129</w:t>
            </w:r>
          </w:p>
        </w:tc>
        <w:tc>
          <w:tcPr>
            <w:tcW w:w="200" w:type="dxa"/>
            <w:vAlign w:val="bottom"/>
          </w:tcPr>
          <w:p>
            <w:pPr>
              <w:spacing w:after="0"/>
              <w:rPr>
                <w:sz w:val="12"/>
                <w:szCs w:val="12"/>
                <w:color w:val="auto"/>
              </w:rPr>
            </w:pPr>
          </w:p>
        </w:tc>
        <w:tc>
          <w:tcPr>
            <w:tcW w:w="182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rPr>
              <w:t>848,142</w:t>
            </w:r>
          </w:p>
        </w:tc>
        <w:tc>
          <w:tcPr>
            <w:tcW w:w="20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28,518,334</w:t>
            </w:r>
          </w:p>
        </w:tc>
      </w:tr>
      <w:tr>
        <w:trPr>
          <w:trHeight w:val="144"/>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Gregory M. Jones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279,188,450</w:t>
            </w: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4,659,706</w:t>
            </w:r>
          </w:p>
        </w:tc>
        <w:tc>
          <w:tcPr>
            <w:tcW w:w="2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897,668</w:t>
            </w: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28,518,334</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Lorretta D. Keane</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281,686,380</w:t>
            </w:r>
          </w:p>
        </w:tc>
        <w:tc>
          <w:tcPr>
            <w:tcW w:w="200" w:type="dxa"/>
            <w:vAlign w:val="bottom"/>
          </w:tcPr>
          <w:p>
            <w:pPr>
              <w:spacing w:after="0"/>
              <w:rPr>
                <w:sz w:val="12"/>
                <w:szCs w:val="12"/>
                <w:color w:val="auto"/>
              </w:rPr>
            </w:pPr>
          </w:p>
        </w:tc>
        <w:tc>
          <w:tcPr>
            <w:tcW w:w="184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2,234,817</w:t>
            </w:r>
          </w:p>
        </w:tc>
        <w:tc>
          <w:tcPr>
            <w:tcW w:w="200" w:type="dxa"/>
            <w:vAlign w:val="bottom"/>
          </w:tcPr>
          <w:p>
            <w:pPr>
              <w:spacing w:after="0"/>
              <w:rPr>
                <w:sz w:val="12"/>
                <w:szCs w:val="12"/>
                <w:color w:val="auto"/>
              </w:rPr>
            </w:pPr>
          </w:p>
        </w:tc>
        <w:tc>
          <w:tcPr>
            <w:tcW w:w="182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rPr>
              <w:t>824,628</w:t>
            </w:r>
          </w:p>
        </w:tc>
        <w:tc>
          <w:tcPr>
            <w:tcW w:w="20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28,518,334</w:t>
            </w:r>
          </w:p>
        </w:tc>
      </w:tr>
      <w:tr>
        <w:trPr>
          <w:trHeight w:val="144"/>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John Y. Kim</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278,351,267</w:t>
            </w: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5,556,493</w:t>
            </w:r>
          </w:p>
        </w:tc>
        <w:tc>
          <w:tcPr>
            <w:tcW w:w="2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838,065</w:t>
            </w: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28,518,334</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David H. Long</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276,340,578</w:t>
            </w:r>
          </w:p>
        </w:tc>
        <w:tc>
          <w:tcPr>
            <w:tcW w:w="200" w:type="dxa"/>
            <w:vAlign w:val="bottom"/>
          </w:tcPr>
          <w:p>
            <w:pPr>
              <w:spacing w:after="0"/>
              <w:rPr>
                <w:sz w:val="12"/>
                <w:szCs w:val="12"/>
                <w:color w:val="auto"/>
              </w:rPr>
            </w:pPr>
          </w:p>
        </w:tc>
        <w:tc>
          <w:tcPr>
            <w:tcW w:w="184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7,560,805</w:t>
            </w:r>
          </w:p>
        </w:tc>
        <w:tc>
          <w:tcPr>
            <w:tcW w:w="200" w:type="dxa"/>
            <w:vAlign w:val="bottom"/>
          </w:tcPr>
          <w:p>
            <w:pPr>
              <w:spacing w:after="0"/>
              <w:rPr>
                <w:sz w:val="12"/>
                <w:szCs w:val="12"/>
                <w:color w:val="auto"/>
              </w:rPr>
            </w:pPr>
          </w:p>
        </w:tc>
        <w:tc>
          <w:tcPr>
            <w:tcW w:w="182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rPr>
              <w:t>844,442</w:t>
            </w:r>
          </w:p>
        </w:tc>
        <w:tc>
          <w:tcPr>
            <w:tcW w:w="20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28,518,334</w:t>
            </w:r>
          </w:p>
        </w:tc>
      </w:tr>
      <w:tr>
        <w:trPr>
          <w:trHeight w:val="144"/>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R. Nolan, Jr.</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249,774,655</w:t>
            </w: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33,486,908</w:t>
            </w:r>
          </w:p>
        </w:tc>
        <w:tc>
          <w:tcPr>
            <w:tcW w:w="2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1,484,261</w:t>
            </w: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28,518,334</w:t>
            </w:r>
          </w:p>
        </w:tc>
      </w:tr>
      <w:tr>
        <w:trPr>
          <w:trHeight w:val="144"/>
        </w:trPr>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Daniel J. Nova</w:t>
            </w: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281,329,889</w:t>
            </w:r>
          </w:p>
        </w:tc>
        <w:tc>
          <w:tcPr>
            <w:tcW w:w="200" w:type="dxa"/>
            <w:vAlign w:val="bottom"/>
          </w:tcPr>
          <w:p>
            <w:pPr>
              <w:spacing w:after="0"/>
              <w:rPr>
                <w:sz w:val="12"/>
                <w:szCs w:val="12"/>
                <w:color w:val="auto"/>
              </w:rPr>
            </w:pPr>
          </w:p>
        </w:tc>
        <w:tc>
          <w:tcPr>
            <w:tcW w:w="184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2,545,778</w:t>
            </w:r>
          </w:p>
        </w:tc>
        <w:tc>
          <w:tcPr>
            <w:tcW w:w="200" w:type="dxa"/>
            <w:vAlign w:val="bottom"/>
          </w:tcPr>
          <w:p>
            <w:pPr>
              <w:spacing w:after="0"/>
              <w:rPr>
                <w:sz w:val="12"/>
                <w:szCs w:val="12"/>
                <w:color w:val="auto"/>
              </w:rPr>
            </w:pPr>
          </w:p>
        </w:tc>
        <w:tc>
          <w:tcPr>
            <w:tcW w:w="182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rPr>
              <w:t>870,158</w:t>
            </w:r>
          </w:p>
        </w:tc>
        <w:tc>
          <w:tcPr>
            <w:tcW w:w="20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28,518,334</w:t>
            </w:r>
          </w:p>
        </w:tc>
      </w:tr>
      <w:tr>
        <w:trPr>
          <w:trHeight w:val="144"/>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Frederica M. Williams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261,821,952</w:t>
            </w: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22,081,112</w:t>
            </w:r>
          </w:p>
        </w:tc>
        <w:tc>
          <w:tcPr>
            <w:tcW w:w="2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842,760</w:t>
            </w: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28,518,334</w:t>
            </w:r>
          </w:p>
        </w:tc>
      </w:tr>
    </w:tbl>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           The shareholders approved, on an advisory basis, the compensation of the Company’s 2023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0" w:type="dxa"/>
            <w:vAlign w:val="bottom"/>
          </w:tcPr>
          <w:p>
            <w:pPr>
              <w:spacing w:after="0"/>
              <w:rPr>
                <w:sz w:val="13"/>
                <w:szCs w:val="13"/>
                <w:color w:val="auto"/>
              </w:rPr>
            </w:pPr>
          </w:p>
        </w:tc>
        <w:tc>
          <w:tcPr>
            <w:tcW w:w="26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For</w:t>
            </w: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6"/>
              </w:rPr>
              <w:t>Against</w:t>
            </w:r>
          </w:p>
        </w:tc>
        <w:tc>
          <w:tcPr>
            <w:tcW w:w="252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Abstained</w:t>
            </w:r>
          </w:p>
        </w:tc>
        <w:tc>
          <w:tcPr>
            <w:tcW w:w="2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Broker Non-Votes</w:t>
            </w:r>
          </w:p>
        </w:tc>
        <w:tc>
          <w:tcPr>
            <w:tcW w:w="700" w:type="dxa"/>
            <w:vAlign w:val="bottom"/>
          </w:tcPr>
          <w:p>
            <w:pPr>
              <w:spacing w:after="0"/>
              <w:rPr>
                <w:sz w:val="13"/>
                <w:szCs w:val="13"/>
                <w:color w:val="auto"/>
              </w:rPr>
            </w:pPr>
          </w:p>
        </w:tc>
      </w:tr>
      <w:tr>
        <w:trPr>
          <w:trHeight w:val="138"/>
        </w:trPr>
        <w:tc>
          <w:tcPr>
            <w:tcW w:w="420" w:type="dxa"/>
            <w:vAlign w:val="bottom"/>
          </w:tcPr>
          <w:p>
            <w:pPr>
              <w:spacing w:after="0"/>
              <w:rPr>
                <w:sz w:val="11"/>
                <w:szCs w:val="11"/>
                <w:color w:val="auto"/>
              </w:rPr>
            </w:pPr>
          </w:p>
        </w:tc>
        <w:tc>
          <w:tcPr>
            <w:tcW w:w="2460" w:type="dxa"/>
            <w:vAlign w:val="bottom"/>
            <w:tcBorders>
              <w:top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241,625,181</w:t>
            </w:r>
          </w:p>
        </w:tc>
        <w:tc>
          <w:tcPr>
            <w:tcW w:w="200" w:type="dxa"/>
            <w:vAlign w:val="bottom"/>
            <w:tcBorders>
              <w:top w:val="single" w:sz="8" w:color="CCEEFF"/>
            </w:tcBorders>
            <w:shd w:val="clear" w:color="auto" w:fill="CCEEFF"/>
          </w:tcPr>
          <w:p>
            <w:pPr>
              <w:spacing w:after="0"/>
              <w:rPr>
                <w:sz w:val="11"/>
                <w:szCs w:val="11"/>
                <w:color w:val="auto"/>
              </w:rPr>
            </w:pPr>
          </w:p>
        </w:tc>
        <w:tc>
          <w:tcPr>
            <w:tcW w:w="2440" w:type="dxa"/>
            <w:vAlign w:val="bottom"/>
            <w:tcBorders>
              <w:top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40,687,963</w:t>
            </w:r>
          </w:p>
        </w:tc>
        <w:tc>
          <w:tcPr>
            <w:tcW w:w="22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2"/>
                <w:szCs w:val="12"/>
                <w:color w:val="auto"/>
              </w:rPr>
              <w:t>2,432,680</w:t>
            </w:r>
          </w:p>
        </w:tc>
        <w:tc>
          <w:tcPr>
            <w:tcW w:w="20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rPr>
              <w:t>28,518,334</w:t>
            </w:r>
          </w:p>
        </w:tc>
        <w:tc>
          <w:tcPr>
            <w:tcW w:w="700" w:type="dxa"/>
            <w:vAlign w:val="bottom"/>
          </w:tcPr>
          <w:p>
            <w:pPr>
              <w:spacing w:after="0"/>
              <w:rPr>
                <w:sz w:val="11"/>
                <w:szCs w:val="11"/>
                <w:color w:val="auto"/>
              </w:rPr>
            </w:pPr>
          </w:p>
        </w:tc>
      </w:tr>
      <w:tr>
        <w:trPr>
          <w:trHeight w:val="450"/>
        </w:trPr>
        <w:tc>
          <w:tcPr>
            <w:tcW w:w="4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7" w:right="299" w:bottom="1440" w:gutter="0" w:footer="0" w:header="0"/>
          <w:type w:val="continuous"/>
        </w:sectPr>
      </w:pPr>
    </w:p>
    <w:bookmarkStart w:id="2" w:name="page3"/>
    <w:bookmarkEnd w:id="2"/>
    <w:p>
      <w:pPr>
        <w:ind w:left="420"/>
        <w:spacing w:after="0"/>
        <w:rPr>
          <w:sz w:val="20"/>
          <w:szCs w:val="20"/>
          <w:color w:val="auto"/>
        </w:rPr>
      </w:pPr>
      <w:r>
        <w:rPr>
          <w:rFonts w:ascii="Times New Roman" w:cs="Times New Roman" w:eastAsia="Times New Roman" w:hAnsi="Times New Roman"/>
          <w:sz w:val="12"/>
          <w:szCs w:val="12"/>
          <w:color w:val="auto"/>
        </w:rPr>
        <w:t>(3)           The shareholders ratified the selection of Deloitte &amp; Touche LLP as the Company’s independent registered public accounting firm for 2024:</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26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For</w:t>
            </w: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6"/>
              </w:rPr>
              <w:t>Against</w:t>
            </w:r>
          </w:p>
        </w:tc>
        <w:tc>
          <w:tcPr>
            <w:tcW w:w="252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Abstained</w:t>
            </w:r>
          </w:p>
        </w:tc>
        <w:tc>
          <w:tcPr>
            <w:tcW w:w="2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Broker Non-Votes</w:t>
            </w:r>
          </w:p>
        </w:tc>
      </w:tr>
      <w:tr>
        <w:trPr>
          <w:trHeight w:val="138"/>
        </w:trPr>
        <w:tc>
          <w:tcPr>
            <w:tcW w:w="2460" w:type="dxa"/>
            <w:vAlign w:val="bottom"/>
            <w:tcBorders>
              <w:top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290,149,346</w:t>
            </w:r>
          </w:p>
        </w:tc>
        <w:tc>
          <w:tcPr>
            <w:tcW w:w="200" w:type="dxa"/>
            <w:vAlign w:val="bottom"/>
            <w:tcBorders>
              <w:top w:val="single" w:sz="8" w:color="CCEEFF"/>
            </w:tcBorders>
            <w:shd w:val="clear" w:color="auto" w:fill="CCEEFF"/>
          </w:tcPr>
          <w:p>
            <w:pPr>
              <w:spacing w:after="0"/>
              <w:rPr>
                <w:sz w:val="11"/>
                <w:szCs w:val="11"/>
                <w:color w:val="auto"/>
              </w:rPr>
            </w:pPr>
          </w:p>
        </w:tc>
        <w:tc>
          <w:tcPr>
            <w:tcW w:w="2440" w:type="dxa"/>
            <w:vAlign w:val="bottom"/>
            <w:tcBorders>
              <w:top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21,403,597</w:t>
            </w:r>
          </w:p>
        </w:tc>
        <w:tc>
          <w:tcPr>
            <w:tcW w:w="22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2"/>
                <w:szCs w:val="12"/>
                <w:color w:val="auto"/>
              </w:rPr>
              <w:t>1,711,216</w:t>
            </w:r>
          </w:p>
        </w:tc>
        <w:tc>
          <w:tcPr>
            <w:tcW w:w="20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jc w:val="right"/>
              <w:ind w:right="1080"/>
              <w:spacing w:after="0"/>
              <w:rPr>
                <w:sz w:val="20"/>
                <w:szCs w:val="20"/>
                <w:color w:val="auto"/>
              </w:rPr>
            </w:pPr>
            <w:r>
              <w:rPr>
                <w:rFonts w:ascii="Times New Roman" w:cs="Times New Roman" w:eastAsia="Times New Roman" w:hAnsi="Times New Roman"/>
                <w:sz w:val="12"/>
                <w:szCs w:val="12"/>
                <w:color w:val="auto"/>
              </w:rPr>
              <w:t>0</w:t>
            </w:r>
          </w:p>
        </w:tc>
      </w:tr>
    </w:tbl>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           The shareholders approved a shareholder proposal titled “Simple Majority Vote.”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color w:val="auto"/>
              </w:rPr>
              <w:t>For</w:t>
            </w: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6"/>
              </w:rPr>
              <w:t>Against</w:t>
            </w:r>
          </w:p>
        </w:tc>
        <w:tc>
          <w:tcPr>
            <w:tcW w:w="252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Abstained</w:t>
            </w:r>
          </w:p>
        </w:tc>
        <w:tc>
          <w:tcPr>
            <w:tcW w:w="2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Broker Non-Votes</w:t>
            </w:r>
          </w:p>
        </w:tc>
      </w:tr>
      <w:tr>
        <w:trPr>
          <w:trHeight w:val="138"/>
        </w:trPr>
        <w:tc>
          <w:tcPr>
            <w:tcW w:w="420" w:type="dxa"/>
            <w:vAlign w:val="bottom"/>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220" w:type="dxa"/>
            <w:vAlign w:val="bottom"/>
            <w:tcBorders>
              <w:top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265,925,082</w:t>
            </w:r>
          </w:p>
        </w:tc>
        <w:tc>
          <w:tcPr>
            <w:tcW w:w="200" w:type="dxa"/>
            <w:vAlign w:val="bottom"/>
            <w:tcBorders>
              <w:top w:val="single" w:sz="8" w:color="CCEEFF"/>
            </w:tcBorders>
            <w:shd w:val="clear" w:color="auto" w:fill="CCEEFF"/>
          </w:tcPr>
          <w:p>
            <w:pPr>
              <w:spacing w:after="0"/>
              <w:rPr>
                <w:sz w:val="11"/>
                <w:szCs w:val="11"/>
                <w:color w:val="auto"/>
              </w:rPr>
            </w:pPr>
          </w:p>
        </w:tc>
        <w:tc>
          <w:tcPr>
            <w:tcW w:w="2440" w:type="dxa"/>
            <w:vAlign w:val="bottom"/>
            <w:tcBorders>
              <w:top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11,998,641</w:t>
            </w:r>
          </w:p>
        </w:tc>
        <w:tc>
          <w:tcPr>
            <w:tcW w:w="22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2"/>
                <w:szCs w:val="12"/>
                <w:color w:val="auto"/>
              </w:rPr>
              <w:t>6,822,102</w:t>
            </w:r>
          </w:p>
        </w:tc>
        <w:tc>
          <w:tcPr>
            <w:tcW w:w="20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rPr>
              <w:t>28,518,334</w:t>
            </w:r>
          </w:p>
        </w:tc>
      </w:tr>
      <w:tr>
        <w:trPr>
          <w:trHeight w:val="273"/>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Section 7</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Regulation FD</w:t>
            </w:r>
          </w:p>
        </w:tc>
        <w:tc>
          <w:tcPr>
            <w:tcW w:w="2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144"/>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48"/>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7.01</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Regulation FD Disclosure.</w:t>
            </w: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5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tcPr>
          <w:p>
            <w:pPr>
              <w:spacing w:after="0"/>
              <w:rPr>
                <w:sz w:val="13"/>
                <w:szCs w:val="13"/>
                <w:color w:val="auto"/>
              </w:rPr>
            </w:pPr>
          </w:p>
        </w:tc>
      </w:tr>
    </w:tbl>
    <w:p>
      <w:pPr>
        <w:ind w:right="20" w:firstLine="432"/>
        <w:spacing w:after="0" w:line="250" w:lineRule="auto"/>
        <w:rPr>
          <w:sz w:val="20"/>
          <w:szCs w:val="20"/>
          <w:color w:val="auto"/>
        </w:rPr>
      </w:pPr>
      <w:r>
        <w:rPr>
          <w:rFonts w:ascii="Times New Roman" w:cs="Times New Roman" w:eastAsia="Times New Roman" w:hAnsi="Times New Roman"/>
          <w:sz w:val="12"/>
          <w:szCs w:val="12"/>
          <w:color w:val="auto"/>
        </w:rPr>
        <w:t>On May 2, 2024, Eversource Energy will webcast a conference call with financial analysts during which senior management will discuss the Company’s financial performance through the first quarter of 2024. The webcast will be accessible from the Investors section of the Eversource Energy website at www.eversource.com. Attached as Exhibit 99.3 and incorporated herein by reference are the slides to be discussed by Eversource Energy during the conference call.</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99.3, shall not be deemed “filed” with the SEC nor incorporated by reference into any registration statement filed by Eversource Energy or any subsidiary thereof under the Securities Act, unless specified otherwise.</w:t>
      </w:r>
    </w:p>
    <w:p>
      <w:pPr>
        <w:sectPr>
          <w:pgSz w:w="11900" w:h="16838" w:orient="portrait"/>
          <w:cols w:equalWidth="0" w:num="1">
            <w:col w:w="11300"/>
          </w:cols>
          <w:pgMar w:left="300" w:top="651" w:right="299" w:bottom="1440" w:gutter="0" w:footer="0" w:header="0"/>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Section 8</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Other Events</w:t>
      </w:r>
    </w:p>
    <w:p>
      <w:pPr>
        <w:spacing w:after="0" w:line="162" w:lineRule="exact"/>
        <w:rPr>
          <w:sz w:val="20"/>
          <w:szCs w:val="20"/>
          <w:color w:val="auto"/>
        </w:rPr>
      </w:pPr>
    </w:p>
    <w:p>
      <w:pPr>
        <w:sectPr>
          <w:pgSz w:w="11900" w:h="16838" w:orient="portrait"/>
          <w:cols w:equalWidth="0" w:num="2">
            <w:col w:w="460" w:space="400"/>
            <w:col w:w="10440"/>
          </w:cols>
          <w:pgMar w:left="300" w:top="651"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Item 8.01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Other Events.</w:t>
      </w:r>
    </w:p>
    <w:p>
      <w:pPr>
        <w:spacing w:after="0" w:line="166" w:lineRule="exact"/>
        <w:rPr>
          <w:sz w:val="20"/>
          <w:szCs w:val="20"/>
          <w:color w:val="auto"/>
        </w:rPr>
      </w:pPr>
    </w:p>
    <w:p>
      <w:pPr>
        <w:sectPr>
          <w:pgSz w:w="11900" w:h="16838" w:orient="portrait"/>
          <w:cols w:equalWidth="0" w:num="2">
            <w:col w:w="480" w:space="380"/>
            <w:col w:w="10440"/>
          </w:cols>
          <w:pgMar w:left="300" w:top="651" w:right="299" w:bottom="1440" w:gutter="0" w:footer="0" w:header="0"/>
          <w:type w:val="continuous"/>
        </w:sect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On May 1, 2024, the Board of Trustees of the Company appointed Daniel J. Nova as the Lead Independent Trustee and the Chair of the Compensation Committee. Mr. Nova has been a General Partner of Highland Capital Partners, a global venture capital firm, since 1996. From October 2020 to December 2022, Mr. Nova also served as the Chief Investment Officer and a director of Highland Transcend Partners I Corp., a publicly traded special purpose acquisition company. Mr. Nova currently serves as a director and a member of the Audit and Compensation Committees of Rent the Runway, Inc., a publicly traded online subscription service for clothing, and he serves as a director and member of the Compensation Committee of ThredUp Inc., a publicly traded online resale platform.</w:t>
      </w:r>
    </w:p>
    <w:p>
      <w:pPr>
        <w:spacing w:after="0" w:line="122"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2"/>
          <w:szCs w:val="12"/>
          <w:color w:val="auto"/>
        </w:rPr>
        <w:t>The Board of Trustees also appointed Loretta D. Keane as the Chair of the Audit Committee and affirmatively determined that Ms. Keane is an “audit committee financial expert” as defined by the SEC. Ms. Keane has served as Chief Financial Officer of Arcadia Solutions, LLC, a Boston based healthcare data platform service provider, since 2018. Ms. Keane’s career includes nearly 40 years in accounting and finance, including the last 26 years serving as the chief financial officer for several software and technology-enabled service companies. She is familiar with Audit Committee functions through her service as Vice Chair of the Audit Committee, having served in that role since January 1, 2023. She began her career as a Certified Public Accountant for PricewaterhouseCoopers in the Boston and London offices.</w:t>
      </w:r>
    </w:p>
    <w:tbl>
      <w:tblPr>
        <w:tblLayout w:type="fixed"/>
        <w:tblInd w:w="0" w:type="dxa"/>
        <w:tblCellMar>
          <w:top w:w="0" w:type="dxa"/>
          <w:left w:w="0" w:type="dxa"/>
          <w:bottom w:w="0" w:type="dxa"/>
          <w:right w:w="0" w:type="dxa"/>
        </w:tblCellMar>
      </w:tblPr>
      <w:tr>
        <w:trPr>
          <w:trHeight w:val="130"/>
        </w:trPr>
        <w:tc>
          <w:tcPr>
            <w:tcW w:w="740" w:type="dxa"/>
            <w:vAlign w:val="bottom"/>
            <w:gridSpan w:val="5"/>
          </w:tcPr>
          <w:p>
            <w:pPr>
              <w:spacing w:after="0" w:line="130" w:lineRule="exact"/>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40" w:type="dxa"/>
            <w:vAlign w:val="bottom"/>
          </w:tcPr>
          <w:p>
            <w:pPr>
              <w:spacing w:after="0"/>
              <w:rPr>
                <w:sz w:val="11"/>
                <w:szCs w:val="11"/>
                <w:color w:val="auto"/>
              </w:rPr>
            </w:pPr>
          </w:p>
        </w:tc>
      </w:tr>
      <w:tr>
        <w:trPr>
          <w:trHeight w:val="144"/>
        </w:trPr>
        <w:tc>
          <w:tcPr>
            <w:tcW w:w="7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Section 9</w:t>
            </w:r>
          </w:p>
        </w:tc>
        <w:tc>
          <w:tcPr>
            <w:tcW w:w="10560" w:type="dxa"/>
            <w:vAlign w:val="bottom"/>
            <w:gridSpan w:val="6"/>
          </w:tcPr>
          <w:p>
            <w:pPr>
              <w:ind w:left="1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144"/>
        </w:trPr>
        <w:tc>
          <w:tcPr>
            <w:tcW w:w="7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40" w:type="dxa"/>
            <w:vAlign w:val="bottom"/>
          </w:tcPr>
          <w:p>
            <w:pPr>
              <w:spacing w:after="0"/>
              <w:rPr>
                <w:sz w:val="12"/>
                <w:szCs w:val="12"/>
                <w:color w:val="auto"/>
              </w:rPr>
            </w:pPr>
          </w:p>
        </w:tc>
      </w:tr>
      <w:tr>
        <w:trPr>
          <w:trHeight w:val="144"/>
        </w:trPr>
        <w:tc>
          <w:tcPr>
            <w:tcW w:w="7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560" w:type="dxa"/>
            <w:vAlign w:val="bottom"/>
            <w:gridSpan w:val="6"/>
          </w:tcPr>
          <w:p>
            <w:pPr>
              <w:ind w:left="1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148"/>
        </w:trPr>
        <w:tc>
          <w:tcPr>
            <w:tcW w:w="7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40" w:type="dxa"/>
            <w:vAlign w:val="bottom"/>
          </w:tcPr>
          <w:p>
            <w:pPr>
              <w:spacing w:after="0"/>
              <w:rPr>
                <w:sz w:val="12"/>
                <w:szCs w:val="12"/>
                <w:color w:val="auto"/>
              </w:rPr>
            </w:pPr>
          </w:p>
        </w:tc>
      </w:tr>
      <w:tr>
        <w:trPr>
          <w:trHeight w:val="144"/>
        </w:trPr>
        <w:tc>
          <w:tcPr>
            <w:tcW w:w="240" w:type="dxa"/>
            <w:vAlign w:val="bottom"/>
          </w:tcPr>
          <w:p>
            <w:pPr>
              <w:spacing w:after="0"/>
              <w:rPr>
                <w:sz w:val="12"/>
                <w:szCs w:val="12"/>
                <w:color w:val="auto"/>
              </w:rPr>
            </w:pPr>
          </w:p>
        </w:tc>
        <w:tc>
          <w:tcPr>
            <w:tcW w:w="5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rPr>
              <w:t>Exhibit</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40" w:type="dxa"/>
            <w:vAlign w:val="bottom"/>
          </w:tcPr>
          <w:p>
            <w:pPr>
              <w:spacing w:after="0"/>
              <w:rPr>
                <w:sz w:val="12"/>
                <w:szCs w:val="12"/>
                <w:color w:val="auto"/>
              </w:rPr>
            </w:pPr>
          </w:p>
        </w:tc>
      </w:tr>
      <w:tr>
        <w:trPr>
          <w:trHeight w:val="128"/>
        </w:trPr>
        <w:tc>
          <w:tcPr>
            <w:tcW w:w="240" w:type="dxa"/>
            <w:vAlign w:val="bottom"/>
          </w:tcPr>
          <w:p>
            <w:pPr>
              <w:spacing w:after="0"/>
              <w:rPr>
                <w:sz w:val="11"/>
                <w:szCs w:val="11"/>
                <w:color w:val="auto"/>
              </w:rPr>
            </w:pPr>
          </w:p>
        </w:tc>
        <w:tc>
          <w:tcPr>
            <w:tcW w:w="500" w:type="dxa"/>
            <w:vAlign w:val="bottom"/>
            <w:gridSpan w:val="4"/>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w w:val="96"/>
              </w:rPr>
              <w:t>Number</w:t>
            </w:r>
          </w:p>
        </w:tc>
        <w:tc>
          <w:tcPr>
            <w:tcW w:w="380" w:type="dxa"/>
            <w:vAlign w:val="bottom"/>
          </w:tcPr>
          <w:p>
            <w:pPr>
              <w:spacing w:after="0"/>
              <w:rPr>
                <w:sz w:val="11"/>
                <w:szCs w:val="11"/>
                <w:color w:val="auto"/>
              </w:rPr>
            </w:pPr>
          </w:p>
        </w:tc>
        <w:tc>
          <w:tcPr>
            <w:tcW w:w="10180" w:type="dxa"/>
            <w:vAlign w:val="bottom"/>
            <w:gridSpan w:val="5"/>
          </w:tcPr>
          <w:p>
            <w:pPr>
              <w:spacing w:after="0" w:line="128" w:lineRule="exact"/>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0000EE"/>
            </w:tcBorders>
          </w:tcPr>
          <w:p>
            <w:pPr>
              <w:jc w:val="center"/>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20" w:type="dxa"/>
            <w:vAlign w:val="bottom"/>
            <w:tcBorders>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9"/>
              </w:rPr>
              <w:t>News Release of Eversource Energy dated May 1, 2024.</w:t>
            </w:r>
          </w:p>
        </w:tc>
        <w:tc>
          <w:tcPr>
            <w:tcW w:w="7460" w:type="dxa"/>
            <w:vAlign w:val="bottom"/>
            <w:gridSpan w:val="2"/>
          </w:tcPr>
          <w:p>
            <w:pPr>
              <w:spacing w:after="0"/>
              <w:rPr>
                <w:sz w:val="10"/>
                <w:szCs w:val="10"/>
                <w:color w:val="auto"/>
              </w:rPr>
            </w:pPr>
          </w:p>
        </w:tc>
      </w:tr>
      <w:tr>
        <w:trPr>
          <w:trHeight w:val="124"/>
        </w:trPr>
        <w:tc>
          <w:tcPr>
            <w:tcW w:w="340" w:type="dxa"/>
            <w:vAlign w:val="bottom"/>
            <w:gridSpan w:val="2"/>
          </w:tcPr>
          <w:p>
            <w:pPr>
              <w:spacing w:after="0"/>
              <w:rPr>
                <w:sz w:val="10"/>
                <w:szCs w:val="10"/>
                <w:color w:val="auto"/>
              </w:rPr>
            </w:pPr>
          </w:p>
        </w:tc>
        <w:tc>
          <w:tcPr>
            <w:tcW w:w="2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18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Financial Report for the three months ended March 31, 2024.</w:t>
            </w:r>
          </w:p>
        </w:tc>
      </w:tr>
      <w:tr>
        <w:trPr>
          <w:trHeight w:val="124"/>
        </w:trPr>
        <w:tc>
          <w:tcPr>
            <w:tcW w:w="340" w:type="dxa"/>
            <w:vAlign w:val="bottom"/>
            <w:gridSpan w:val="2"/>
          </w:tcPr>
          <w:p>
            <w:pPr>
              <w:spacing w:after="0"/>
              <w:rPr>
                <w:sz w:val="10"/>
                <w:szCs w:val="10"/>
                <w:color w:val="auto"/>
              </w:rPr>
            </w:pPr>
          </w:p>
        </w:tc>
        <w:tc>
          <w:tcPr>
            <w:tcW w:w="220" w:type="dxa"/>
            <w:vAlign w:val="bottom"/>
            <w:tcBorders>
              <w:top w:val="single" w:sz="8" w:color="0000EE"/>
            </w:tcBorders>
          </w:tcPr>
          <w:p>
            <w:pPr>
              <w:jc w:val="center"/>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940" w:type="dxa"/>
            <w:vAlign w:val="bottom"/>
            <w:tcBorders>
              <w:top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May 2, 2024 presentation slides.</w:t>
            </w:r>
          </w:p>
        </w:tc>
        <w:tc>
          <w:tcPr>
            <w:tcW w:w="7240" w:type="dxa"/>
            <w:vAlign w:val="bottom"/>
          </w:tcPr>
          <w:p>
            <w:pPr>
              <w:spacing w:after="0"/>
              <w:rPr>
                <w:sz w:val="10"/>
                <w:szCs w:val="10"/>
                <w:color w:val="auto"/>
              </w:rPr>
            </w:pPr>
          </w:p>
        </w:tc>
      </w:tr>
      <w:tr>
        <w:trPr>
          <w:trHeight w:val="20"/>
        </w:trPr>
        <w:tc>
          <w:tcPr>
            <w:tcW w:w="34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620" w:type="dxa"/>
            <w:vAlign w:val="bottom"/>
            <w:gridSpan w:val="3"/>
          </w:tcPr>
          <w:p>
            <w:pPr>
              <w:spacing w:after="0" w:line="20" w:lineRule="exact"/>
              <w:rPr>
                <w:sz w:val="1"/>
                <w:szCs w:val="1"/>
                <w:color w:val="auto"/>
              </w:rPr>
            </w:pPr>
          </w:p>
        </w:tc>
      </w:tr>
      <w:tr>
        <w:trPr>
          <w:trHeight w:val="140"/>
        </w:trPr>
        <w:tc>
          <w:tcPr>
            <w:tcW w:w="340" w:type="dxa"/>
            <w:vAlign w:val="bottom"/>
            <w:gridSpan w:val="2"/>
          </w:tcPr>
          <w:p>
            <w:pPr>
              <w:spacing w:after="0"/>
              <w:rPr>
                <w:sz w:val="12"/>
                <w:szCs w:val="12"/>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55"/>
        </w:trPr>
        <w:tc>
          <w:tcPr>
            <w:tcW w:w="7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40" w:type="dxa"/>
            <w:vAlign w:val="bottom"/>
          </w:tcPr>
          <w:p>
            <w:pPr>
              <w:spacing w:after="0"/>
              <w:rPr>
                <w:sz w:val="13"/>
                <w:szCs w:val="13"/>
                <w:color w:val="auto"/>
              </w:rPr>
            </w:pPr>
          </w:p>
        </w:tc>
      </w:tr>
      <w:tr>
        <w:trPr>
          <w:trHeight w:val="306"/>
        </w:trPr>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type w:val="continuous"/>
        </w:sectPr>
      </w:pPr>
    </w:p>
    <w:bookmarkStart w:id="3" w:name="page4"/>
    <w:bookmarkEnd w:id="3"/>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registrants have duly caused this report to be signed on their behalf by the undersigned hereunto duly authorized.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2"/>
          <w:szCs w:val="12"/>
          <w:color w:val="auto"/>
        </w:rPr>
        <w:t> </w:t>
      </w:r>
      <w:r>
        <w:rPr>
          <w:sz w:val="20"/>
          <w:szCs w:val="20"/>
          <w:color w:val="auto"/>
        </w:rPr>
        <w:tab/>
      </w:r>
      <w:r>
        <w:rPr>
          <w:rFonts w:ascii="Times New Roman" w:cs="Times New Roman" w:eastAsia="Times New Roman" w:hAnsi="Times New Roman"/>
          <w:sz w:val="12"/>
          <w:szCs w:val="12"/>
          <w:b w:val="1"/>
          <w:bCs w:val="1"/>
          <w:color w:val="auto"/>
        </w:rPr>
        <w:t>EVERSOURCE ENERGY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THE CONNECTICUT LIGHT AND POWER COMPANY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NSTAR ELECTRIC COMPANY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PUBLIC SERVICE COMPANY OF NEW HAMPSHIRE</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(Registrants)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1, 2024</w:t>
      </w:r>
    </w:p>
    <w:p>
      <w:pPr>
        <w:spacing w:after="0" w:line="17"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J</w:t>
      </w:r>
      <w:r>
        <w:rPr>
          <w:rFonts w:ascii="Times New Roman" w:cs="Times New Roman" w:eastAsia="Times New Roman" w:hAnsi="Times New Roman"/>
          <w:sz w:val="8"/>
          <w:szCs w:val="8"/>
          <w:color w:val="auto"/>
        </w:rPr>
        <w:t>ay</w:t>
      </w:r>
      <w:r>
        <w:rPr>
          <w:rFonts w:ascii="Times New Roman" w:cs="Times New Roman" w:eastAsia="Times New Roman" w:hAnsi="Times New Roman"/>
          <w:sz w:val="12"/>
          <w:szCs w:val="12"/>
          <w:color w:val="auto"/>
        </w:rPr>
        <w:t xml:space="preserve"> S. B</w:t>
      </w:r>
      <w:r>
        <w:rPr>
          <w:rFonts w:ascii="Times New Roman" w:cs="Times New Roman" w:eastAsia="Times New Roman" w:hAnsi="Times New Roman"/>
          <w:sz w:val="8"/>
          <w:szCs w:val="8"/>
          <w:color w:val="auto"/>
        </w:rPr>
        <w:t>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3810</wp:posOffset>
            </wp:positionV>
            <wp:extent cx="33718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Jay S. Buth</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Vice President, Controller and Chief Accounting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198120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104775</wp:posOffset>
            </wp:positionV>
            <wp:extent cx="4509135" cy="748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09135" cy="74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Eversource Energy Reports First Quarter 2024 Results</w:t>
      </w:r>
    </w:p>
    <w:p>
      <w:pPr>
        <w:spacing w:after="0" w:line="1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HARTFORD, Conn. and BOSTON, Mass. (May 1, 2024) – </w:t>
      </w:r>
      <w:r>
        <w:rPr>
          <w:rFonts w:ascii="Times New Roman" w:cs="Times New Roman" w:eastAsia="Times New Roman" w:hAnsi="Times New Roman"/>
          <w:sz w:val="12"/>
          <w:szCs w:val="12"/>
          <w:color w:val="auto"/>
        </w:rPr>
        <w:t>Eversource Energy (NYSE: ES) today reported earnings of $521.8 million, or $1.49 per share, for the first quarter of 2024, compared with earnings of $491.2 million,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$1.41 per share, for the first quarter of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Also today, the Eversource Energy Board of Trustees approved a common dividend of $0.715 per share, payable June 28, 2024, to shareholders of record as of May 16, 2024.</w:t>
      </w:r>
    </w:p>
    <w:p>
      <w:pPr>
        <w:spacing w:after="0" w:line="15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2"/>
          <w:szCs w:val="12"/>
          <w:color w:val="auto"/>
        </w:rPr>
        <w:t>The company reaffirms its 2024 non-GAAP earnings projection of between $4.50 per share and $4.67 per share. It also reaffirmed its compound annual earnings per share growth rate within the range of 5 to 7 percent from a 2023 base of $4.34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and its $23.1 billion of forecasted capital investments.</w:t>
      </w:r>
    </w:p>
    <w:p>
      <w:pPr>
        <w:spacing w:after="0" w:line="18"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2"/>
          <w:szCs w:val="12"/>
          <w:color w:val="auto"/>
        </w:rPr>
        <w:t>“Our financial performance was strong in the first quarter, thanks to the hard work of our 10,000 employees. Our dedicated team also responded effectively to a series of ice, snow, and wind events across our three states, once again showing their commitment to serving our customers and communities,” said Joe Nolan, Eversource Energy Chairman, President, and Chief Executive Officer. “In other news, we were proud to make history during the first quarter, when Eversource and Ørsted’s South Fork Wind farm became the first operational commercial-scale offshore wind facility in the U.S. We also continue to make solid progress toward closing the previously announced sales of Eversource's ownership in offshore wind projects.”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Transmission</w:t>
      </w:r>
    </w:p>
    <w:p>
      <w:pPr>
        <w:spacing w:after="0" w:line="154"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Eversource Energy’s transmission segment earned $176.7 million in the first quarter of 2024, compared with earnings of $155.1 million in the first quarter of 2023. Transmission segment results improved due to a higher level of investment in Eversource’s electric transmission system needed to address system capacity growth and deliver clean energy resources for the region.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Distribution</w:t>
      </w:r>
    </w:p>
    <w:p>
      <w:pPr>
        <w:spacing w:after="0" w:line="15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Eversource Energy’s electric distribution segment earned $168.1 million in the first quarter of 2024, compared with earnings of $165.5 million in the first quarter of 2023. Improved results were due primarily to higher revenues from a base distribution rate increase for Eversource's Massachusetts electric business and from higher revenues associated with infrastructure investments in our distribution system, partially offset by higher interest, depreciation, non-tracked operations and maintenance (O&amp;M) and property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auto"/>
        </w:rPr>
        <w:t>Natural Gas Distribution</w:t>
      </w:r>
    </w:p>
    <w:p>
      <w:pPr>
        <w:spacing w:after="0" w:line="154"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Eversource Energy’s natural gas distribution segment earned $190.6 million in the first quarter of 2024, compared with earnings of $170.3 million in the first quarter of 2023. Improved results were due primarily to higher revenues associated with investments in our natural gas infrastructure and a base distribution rate increase at NSTAR Gas, as well as lower non-tracked O&amp;M, partially offset by higher depreciation and interest expense.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Water Distribution</w:t>
      </w:r>
    </w:p>
    <w:p>
      <w:pPr>
        <w:spacing w:after="0" w:line="154"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Eversource Energy’s water distribution segment earned $5.4 million in the first quarter of 2024, compared with earnings of $1.5 million in the first quarter of 2023. Higher earnings were due primarily to lower depreciation and higher revenues from our two water company acquisitions in the prior year, partially offset by higher interest expense and non-tracked O&amp;M.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Eversource Parent and Other Companies</w:t>
      </w:r>
    </w:p>
    <w:p>
      <w:pPr>
        <w:spacing w:after="0" w:line="154"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Eversource Energy parent and other companies had a loss of $(19.0) million in the first quarter of 2024, compared with a loss of $(1.2) million in the first quarter of 2023. Lower results were primarily the result of higher interest expense and the absence of the prior year net benefit from the disposition of Eversource's interest in a clean energy fund, partially offset by a lower effective tax rate.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Eversource Energy Consolidated Earnings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reconciles consolidated GAAP earnings per share for the first quarters of 2024 and 2023:</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First Quarter</w:t>
            </w:r>
          </w:p>
        </w:tc>
      </w:tr>
      <w:tr>
        <w:trPr>
          <w:trHeight w:val="133"/>
        </w:trPr>
        <w:tc>
          <w:tcPr>
            <w:tcW w:w="680" w:type="dxa"/>
            <w:vAlign w:val="bottom"/>
            <w:tcBorders>
              <w:top w:val="single" w:sz="8" w:color="CCEEFF"/>
            </w:tcBorders>
            <w:shd w:val="clear" w:color="auto" w:fill="CCEEFF"/>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w w:val="91"/>
              </w:rPr>
              <w:t>2023</w:t>
            </w:r>
          </w:p>
        </w:tc>
        <w:tc>
          <w:tcPr>
            <w:tcW w:w="8280" w:type="dxa"/>
            <w:vAlign w:val="bottom"/>
            <w:tcBorders>
              <w:top w:val="single" w:sz="8" w:color="CCEEFF"/>
            </w:tcBorders>
            <w:shd w:val="clear" w:color="auto" w:fill="CCEEFF"/>
          </w:tcPr>
          <w:p>
            <w:pPr>
              <w:ind w:left="460"/>
              <w:spacing w:after="0" w:line="133" w:lineRule="exact"/>
              <w:rPr>
                <w:sz w:val="20"/>
                <w:szCs w:val="20"/>
                <w:color w:val="auto"/>
              </w:rPr>
            </w:pPr>
            <w:r>
              <w:rPr>
                <w:rFonts w:ascii="Times New Roman" w:cs="Times New Roman" w:eastAsia="Times New Roman" w:hAnsi="Times New Roman"/>
                <w:sz w:val="12"/>
                <w:szCs w:val="12"/>
                <w:b w:val="1"/>
                <w:bCs w:val="1"/>
                <w:color w:val="auto"/>
              </w:rPr>
              <w:t>Reported EPS</w:t>
            </w: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1.41</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680" w:type="dxa"/>
            <w:vAlign w:val="bottom"/>
          </w:tcPr>
          <w:p>
            <w:pPr>
              <w:spacing w:after="0"/>
              <w:rPr>
                <w:sz w:val="12"/>
                <w:szCs w:val="12"/>
                <w:color w:val="auto"/>
              </w:rPr>
            </w:pPr>
          </w:p>
        </w:tc>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Higher electric transmission segment earnings in 2024</w:t>
            </w:r>
          </w:p>
        </w:tc>
        <w:tc>
          <w:tcPr>
            <w:tcW w:w="12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0.05</w:t>
            </w:r>
          </w:p>
        </w:tc>
      </w:tr>
      <w:tr>
        <w:trPr>
          <w:trHeight w:val="144"/>
        </w:trPr>
        <w:tc>
          <w:tcPr>
            <w:tcW w:w="680" w:type="dxa"/>
            <w:vAlign w:val="bottom"/>
            <w:shd w:val="clear" w:color="auto" w:fill="CCEEFF"/>
          </w:tcPr>
          <w:p>
            <w:pPr>
              <w:spacing w:after="0"/>
              <w:rPr>
                <w:sz w:val="12"/>
                <w:szCs w:val="12"/>
                <w:color w:val="auto"/>
              </w:rPr>
            </w:pPr>
          </w:p>
        </w:tc>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At the electric distribution segment, higher revenues in 2024, partially offset by higher interest, depreciation, non-tracked O&amp;M and property taxes</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0.01</w:t>
            </w:r>
          </w:p>
        </w:tc>
      </w:tr>
      <w:tr>
        <w:trPr>
          <w:trHeight w:val="144"/>
        </w:trPr>
        <w:tc>
          <w:tcPr>
            <w:tcW w:w="680" w:type="dxa"/>
            <w:vAlign w:val="bottom"/>
          </w:tcPr>
          <w:p>
            <w:pPr>
              <w:spacing w:after="0"/>
              <w:rPr>
                <w:sz w:val="12"/>
                <w:szCs w:val="12"/>
                <w:color w:val="auto"/>
              </w:rPr>
            </w:pPr>
          </w:p>
        </w:tc>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At the natural gas distribution segment in 2024, higher revenues and lower non-tracked O&amp;M, partially offset by higher depreciation and interest</w:t>
            </w:r>
          </w:p>
        </w:tc>
        <w:tc>
          <w:tcPr>
            <w:tcW w:w="12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0.05</w:t>
            </w:r>
          </w:p>
        </w:tc>
      </w:tr>
      <w:tr>
        <w:trPr>
          <w:trHeight w:val="144"/>
        </w:trPr>
        <w:tc>
          <w:tcPr>
            <w:tcW w:w="680" w:type="dxa"/>
            <w:vAlign w:val="bottom"/>
            <w:shd w:val="clear" w:color="auto" w:fill="CCEEFF"/>
          </w:tcPr>
          <w:p>
            <w:pPr>
              <w:spacing w:after="0"/>
              <w:rPr>
                <w:sz w:val="12"/>
                <w:szCs w:val="12"/>
                <w:color w:val="auto"/>
              </w:rPr>
            </w:pPr>
          </w:p>
        </w:tc>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At the water distribution segment, lower depreciation rates partially offset by higher interest and non-tracked O&amp;M</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0.01</w:t>
            </w:r>
          </w:p>
        </w:tc>
      </w:tr>
      <w:tr>
        <w:trPr>
          <w:trHeight w:val="144"/>
        </w:trPr>
        <w:tc>
          <w:tcPr>
            <w:tcW w:w="680" w:type="dxa"/>
            <w:vAlign w:val="bottom"/>
          </w:tcPr>
          <w:p>
            <w:pPr>
              <w:spacing w:after="0"/>
              <w:rPr>
                <w:sz w:val="12"/>
                <w:szCs w:val="12"/>
                <w:color w:val="auto"/>
              </w:rPr>
            </w:pPr>
          </w:p>
        </w:tc>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At parent and other companies in 2024, higher interest and the absence of a prior year benefit, partially offset by a lower effective tax rate</w:t>
            </w:r>
          </w:p>
        </w:tc>
        <w:tc>
          <w:tcPr>
            <w:tcW w:w="12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(0.04)</w:t>
            </w:r>
          </w:p>
        </w:tc>
      </w:tr>
      <w:tr>
        <w:trPr>
          <w:trHeight w:val="144"/>
        </w:trPr>
        <w:tc>
          <w:tcPr>
            <w:tcW w:w="68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b w:val="1"/>
                <w:bCs w:val="1"/>
                <w:color w:val="auto"/>
              </w:rPr>
              <w:t>Reported EPS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1.49</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results for the first quarters of 2024 and 2023 for Eversource Energy’s business segments and parent and other companies are noted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w:t>
            </w: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3"/>
        </w:trPr>
        <w:tc>
          <w:tcPr>
            <w:tcW w:w="3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00" w:type="dxa"/>
            <w:vAlign w:val="bottom"/>
          </w:tcPr>
          <w:p>
            <w:pPr>
              <w:spacing w:after="0"/>
              <w:rPr>
                <w:sz w:val="23"/>
                <w:szCs w:val="23"/>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Increase/</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9"/>
        </w:trPr>
        <w:tc>
          <w:tcPr>
            <w:tcW w:w="36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except EPS)</w:t>
            </w: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(Decrease)</w:t>
            </w:r>
          </w:p>
        </w:tc>
        <w:tc>
          <w:tcPr>
            <w:tcW w:w="220" w:type="dxa"/>
            <w:vAlign w:val="bottom"/>
          </w:tcPr>
          <w:p>
            <w:pPr>
              <w:spacing w:after="0"/>
              <w:rPr>
                <w:sz w:val="13"/>
                <w:szCs w:val="13"/>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2024 EPS</w:t>
            </w:r>
          </w:p>
        </w:tc>
        <w:tc>
          <w:tcPr>
            <w:tcW w:w="22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2023 EPS</w:t>
            </w:r>
          </w:p>
        </w:tc>
      </w:tr>
      <w:tr>
        <w:trPr>
          <w:trHeight w:val="142"/>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Electric Transmission</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176.7</w:t>
            </w: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w:t>
            </w:r>
          </w:p>
        </w:tc>
        <w:tc>
          <w:tcPr>
            <w:tcW w:w="3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3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3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120" w:type="dxa"/>
            <w:vAlign w:val="bottom"/>
            <w:tcBorders>
              <w:top w:val="single" w:sz="8" w:color="CCEEFF"/>
            </w:tcBorders>
            <w:shd w:val="clear" w:color="auto" w:fill="CCEEFF"/>
          </w:tcPr>
          <w:p>
            <w:pPr>
              <w:spacing w:after="0"/>
              <w:rPr>
                <w:sz w:val="12"/>
                <w:szCs w:val="12"/>
                <w:color w:val="auto"/>
              </w:rPr>
            </w:pPr>
          </w:p>
        </w:tc>
      </w:tr>
      <w:tr>
        <w:trPr>
          <w:trHeight w:val="153"/>
        </w:trPr>
        <w:tc>
          <w:tcPr>
            <w:tcW w:w="3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Electric Distribution</w:t>
            </w:r>
          </w:p>
        </w:tc>
        <w:tc>
          <w:tcPr>
            <w:tcW w:w="92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168.1</w:t>
            </w:r>
          </w:p>
        </w:tc>
        <w:tc>
          <w:tcPr>
            <w:tcW w:w="200" w:type="dxa"/>
            <w:vAlign w:val="bottom"/>
          </w:tcPr>
          <w:p>
            <w:pPr>
              <w:spacing w:after="0"/>
              <w:rPr>
                <w:sz w:val="13"/>
                <w:szCs w:val="13"/>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165.5</w:t>
            </w:r>
          </w:p>
        </w:tc>
        <w:tc>
          <w:tcPr>
            <w:tcW w:w="200" w:type="dxa"/>
            <w:vAlign w:val="bottom"/>
          </w:tcPr>
          <w:p>
            <w:pPr>
              <w:spacing w:after="0"/>
              <w:rPr>
                <w:sz w:val="13"/>
                <w:szCs w:val="13"/>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2.6</w:t>
            </w:r>
          </w:p>
        </w:tc>
        <w:tc>
          <w:tcPr>
            <w:tcW w:w="220" w:type="dxa"/>
            <w:vAlign w:val="bottom"/>
          </w:tcPr>
          <w:p>
            <w:pPr>
              <w:spacing w:after="0"/>
              <w:rPr>
                <w:sz w:val="13"/>
                <w:szCs w:val="13"/>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0.48</w:t>
            </w:r>
          </w:p>
        </w:tc>
        <w:tc>
          <w:tcPr>
            <w:tcW w:w="2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0.47</w:t>
            </w:r>
          </w:p>
        </w:tc>
      </w:tr>
      <w:tr>
        <w:trPr>
          <w:trHeight w:val="15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Natural Gas Distribution</w:t>
            </w:r>
          </w:p>
        </w:tc>
        <w:tc>
          <w:tcPr>
            <w:tcW w:w="9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190.6</w:t>
            </w:r>
          </w:p>
        </w:tc>
        <w:tc>
          <w:tcPr>
            <w:tcW w:w="2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170.3</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20.3</w:t>
            </w: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0.54</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0.49</w:t>
            </w:r>
          </w:p>
        </w:tc>
      </w:tr>
      <w:tr>
        <w:trPr>
          <w:trHeight w:val="153"/>
        </w:trPr>
        <w:tc>
          <w:tcPr>
            <w:tcW w:w="3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Water Distribution</w:t>
            </w:r>
          </w:p>
        </w:tc>
        <w:tc>
          <w:tcPr>
            <w:tcW w:w="92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5.4</w:t>
            </w:r>
          </w:p>
        </w:tc>
        <w:tc>
          <w:tcPr>
            <w:tcW w:w="200" w:type="dxa"/>
            <w:vAlign w:val="bottom"/>
          </w:tcPr>
          <w:p>
            <w:pPr>
              <w:spacing w:after="0"/>
              <w:rPr>
                <w:sz w:val="13"/>
                <w:szCs w:val="13"/>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tcPr>
          <w:p>
            <w:pPr>
              <w:spacing w:after="0"/>
              <w:rPr>
                <w:sz w:val="13"/>
                <w:szCs w:val="13"/>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3.9</w:t>
            </w:r>
          </w:p>
        </w:tc>
        <w:tc>
          <w:tcPr>
            <w:tcW w:w="220" w:type="dxa"/>
            <w:vAlign w:val="bottom"/>
          </w:tcPr>
          <w:p>
            <w:pPr>
              <w:spacing w:after="0"/>
              <w:rPr>
                <w:sz w:val="13"/>
                <w:szCs w:val="13"/>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Parent and Other Companies</w:t>
            </w:r>
          </w:p>
        </w:tc>
        <w:tc>
          <w:tcPr>
            <w:tcW w:w="9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(19.0)</w:t>
            </w:r>
          </w:p>
        </w:tc>
        <w:tc>
          <w:tcPr>
            <w:tcW w:w="2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(1.2)</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(17.8)</w:t>
            </w: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(0.04)</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9"/>
        </w:trPr>
        <w:tc>
          <w:tcPr>
            <w:tcW w:w="3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Reported Earnings</w:t>
            </w:r>
          </w:p>
        </w:tc>
        <w:tc>
          <w:tcPr>
            <w:tcW w:w="920" w:type="dxa"/>
            <w:vAlign w:val="bottom"/>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521.8</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491.2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30.6</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1.49</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1.41</w:t>
            </w:r>
          </w:p>
        </w:tc>
      </w:tr>
      <w:tr>
        <w:trPr>
          <w:trHeight w:val="444"/>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6" w:name="page7"/>
    <w:bookmarkEnd w:id="6"/>
    <w:p>
      <w:pPr>
        <w:ind w:left="8" w:right="120"/>
        <w:spacing w:after="0" w:line="279" w:lineRule="auto"/>
        <w:rPr>
          <w:sz w:val="20"/>
          <w:szCs w:val="20"/>
          <w:color w:val="auto"/>
        </w:rPr>
      </w:pPr>
      <w:r>
        <w:rPr>
          <w:rFonts w:ascii="Times New Roman" w:cs="Times New Roman" w:eastAsia="Times New Roman" w:hAnsi="Times New Roman"/>
          <w:sz w:val="12"/>
          <w:szCs w:val="12"/>
          <w:color w:val="auto"/>
        </w:rPr>
        <w:t>Eversource Energy has approximately 351 million common shares outstanding and operates New England’s largest energy delivery system. It serves approximately 4.4 million electric, natural gas and water customers in Connecticut, Massachusetts, and New Hampshire.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Matthew P. Fallon</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(860) 665-6242</w:t>
      </w:r>
    </w:p>
    <w:p>
      <w:pPr>
        <w:spacing w:after="0" w:line="144" w:lineRule="exact"/>
        <w:rPr>
          <w:sz w:val="20"/>
          <w:szCs w:val="20"/>
          <w:color w:val="auto"/>
        </w:rPr>
      </w:pPr>
    </w:p>
    <w:p>
      <w:pPr>
        <w:ind w:left="48" w:right="380"/>
        <w:spacing w:after="0" w:line="286" w:lineRule="auto"/>
        <w:rPr>
          <w:sz w:val="20"/>
          <w:szCs w:val="20"/>
          <w:color w:val="auto"/>
        </w:rPr>
      </w:pPr>
      <w:r>
        <w:rPr>
          <w:rFonts w:ascii="Times New Roman" w:cs="Times New Roman" w:eastAsia="Times New Roman" w:hAnsi="Times New Roman"/>
          <w:sz w:val="12"/>
          <w:szCs w:val="12"/>
          <w:b w:val="1"/>
          <w:bCs w:val="1"/>
          <w:color w:val="auto"/>
        </w:rPr>
        <w:t>Note: Eversource Energy will webcast a conference call with senior management on May 2, 2024, beginning at 9 a.m. Eastern Time. The webcast and associated slides can be accessed through Eversource Energy’s website at www.eversource.com.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178040" cy="194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94310"/>
                    </a:xfrm>
                    <a:prstGeom prst="rect">
                      <a:avLst/>
                    </a:prstGeom>
                    <a:noFill/>
                  </pic:spPr>
                </pic:pic>
              </a:graphicData>
            </a:graphic>
          </wp:anchor>
        </w:drawing>
      </w:r>
    </w:p>
    <w:p>
      <w:pPr>
        <w:spacing w:after="0" w:line="121" w:lineRule="exact"/>
        <w:rPr>
          <w:sz w:val="20"/>
          <w:szCs w:val="20"/>
          <w:color w:val="auto"/>
        </w:rPr>
      </w:pPr>
    </w:p>
    <w:p>
      <w:pPr>
        <w:ind w:left="8" w:hanging="8"/>
        <w:spacing w:after="0" w:line="243" w:lineRule="auto"/>
        <w:tabs>
          <w:tab w:leader="none" w:pos="83" w:val="left"/>
        </w:tabs>
        <w:numPr>
          <w:ilvl w:val="0"/>
          <w:numId w:val="2"/>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2"/>
          <w:szCs w:val="12"/>
          <w:i w:val="1"/>
          <w:iCs w:val="1"/>
          <w:color w:val="auto"/>
        </w:rPr>
        <w:t>All per-share amounts in this news release are reported on a diluted basis. The only common equity securities that are publicly traded are common shares of Eversource Energy. The earnings discussion includes financial measures that are not recognized under generally accepted accounting principles (non-GAAP) referencing earnings and EPS excluding the impairment charge for the offshore wind investment and certain transaction, transition, and other charges. EPS by business is also a non-GAAP financial measure and is calculated by dividing the net income attributable to common shareholders of each business by the weighted average diluted Eversource Energy common shares outstanding for the period. The earnings and EPS of each business do not represent a direct legal interest in the assets and liabilities of such business, but rather represent a direct interest in Eversource Energy’s assets and liabilities as a whole. Eversource Energy uses this non-GAAP financial measure to evaluate and provide details of earnings results by business This non-GAAP financial measure should not be considered as an alternative to Eversource Energy’s EPS determined in accordance with GAAP as an indicator of Eversource Energy’s operating performance. This document includes statements concerning Eversource Energy’s expectations, beliefs, plans, objectives, goals, strategies, assumptions of future events, future financial performance or growth and other statements that are not historical facts. These statements are “forward-looking statements” within the meaning of the Private Securities Litigation Reform Act of 1995. Generally, readers can identify these forward-looking statements through the use of words or phrases such as “estimate,” “expect,” “anticipate,” “intend,” “plan,” “project,” “believe,” “forecast,”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cyberattacks or breaches, including those resulting in the compromise of the confidentiality of our proprietary information and the personal information of our customers; our ability to complete the offshore wind investments sales process on the timelines, terms and pricing we expect; if we and the counterparties are unable to satisfy all closing conditions and consummate the purchase and sale transactions with respect to our offshore wind assets; if we are unable to qualify for investment tax credits related to these projects; if we experience variability in the projected construction costs of the offshore wind projects, if there is a deterioration of market conditions in the offshore wind industry; and if the projects do not commence operation as scheduled or within budget or are not completed, disruptions in the capital markets or other events that make our access to necessary capital more difficult or costly; changes in economic conditions, including impact on interest rates, tax policies, and customer demand and payment ability; ability or inability to commence and complete our major strategic development projects and opportunities; acts of war or terrorism, physical attacks or grid disturbances that may damage and disrupt our electric transmission and electric, natural gas, and water distribution systems; actions or inaction of local, state and federal regulatory, public policy and taxing bodies; substandard performance of third-party suppliers and service providers; fluctuations in weather patterns, including extreme weather due to climate change; changes in business conditions, which could include disruptive technology or development of alternative energy sources related to our current or future business model; contamination of, or disruption in, our water supplies; changes in levels or timing of capital expenditures; changes in laws, regulations or regulatory policy, including compliance with environmental laws and regulations; changes in accounting standards and financial reporting regulations; actions of rating agencies; and other presently unknown or unforeseen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651" w:right="33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Other risk factors are detailed in Eversource Energy’s reports filed with the Securities and Exchange Commission (SEC). They are updated as necessary and available on Eversource Energy’s website at </w:t>
      </w:r>
      <w:r>
        <w:rPr>
          <w:rFonts w:ascii="Times New Roman" w:cs="Times New Roman" w:eastAsia="Times New Roman" w:hAnsi="Times New Roman"/>
          <w:sz w:val="12"/>
          <w:szCs w:val="12"/>
          <w:i w:val="1"/>
          <w:iCs w:val="1"/>
          <w:u w:val="single" w:color="auto"/>
          <w:color w:val="auto"/>
        </w:rPr>
        <w:t>www.eversource.com</w:t>
      </w:r>
      <w:r>
        <w:rPr>
          <w:rFonts w:ascii="Times New Roman" w:cs="Times New Roman" w:eastAsia="Times New Roman" w:hAnsi="Times New Roman"/>
          <w:sz w:val="12"/>
          <w:szCs w:val="12"/>
          <w:i w:val="1"/>
          <w:iCs w:val="1"/>
          <w:color w:val="auto"/>
        </w:rPr>
        <w:t xml:space="preserve"> and on the SEC’s website at </w:t>
      </w:r>
      <w:r>
        <w:rPr>
          <w:rFonts w:ascii="Times New Roman" w:cs="Times New Roman" w:eastAsia="Times New Roman" w:hAnsi="Times New Roman"/>
          <w:sz w:val="12"/>
          <w:szCs w:val="12"/>
          <w:i w:val="1"/>
          <w:iCs w:val="1"/>
          <w:u w:val="single" w:color="auto"/>
          <w:color w:val="auto"/>
        </w:rPr>
        <w:t>www.sec.gov</w:t>
      </w:r>
      <w:r>
        <w:rPr>
          <w:rFonts w:ascii="Times New Roman" w:cs="Times New Roman" w:eastAsia="Times New Roman" w:hAnsi="Times New Roman"/>
          <w:sz w:val="12"/>
          <w:szCs w:val="12"/>
          <w:i w:val="1"/>
          <w:iCs w:val="1"/>
          <w:color w:val="auto"/>
        </w:rPr>
        <w:t>. 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59"/>
        </w:trPr>
        <w:tc>
          <w:tcPr>
            <w:tcW w:w="8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Exhibit 99.2</w:t>
            </w:r>
          </w:p>
        </w:tc>
      </w:tr>
      <w:tr>
        <w:trPr>
          <w:trHeight w:val="277"/>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EVERSOURCE ENERGY AND SUBSIDIARIES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CONDENSED CONSOLIDATED STATEMENTS OF INCOME</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(Unaudited)</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rPr>
              <w:t>For the Three</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9"/>
              </w:rPr>
              <w:t>Months Ended</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rPr>
              <w:t>March 31,</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(Thousands of Dollars, Except Share Information)</w:t>
            </w:r>
          </w:p>
        </w:tc>
        <w:tc>
          <w:tcPr>
            <w:tcW w:w="160" w:type="dxa"/>
            <w:vAlign w:val="bottom"/>
          </w:tcPr>
          <w:p>
            <w:pPr>
              <w:spacing w:after="0"/>
              <w:rPr>
                <w:sz w:val="13"/>
                <w:szCs w:val="13"/>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2024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tcPr>
          <w:p>
            <w:pPr>
              <w:spacing w:after="0"/>
              <w:rPr>
                <w:sz w:val="13"/>
                <w:szCs w:val="13"/>
                <w:color w:val="auto"/>
              </w:rPr>
            </w:pPr>
          </w:p>
        </w:tc>
      </w:tr>
      <w:tr>
        <w:trPr>
          <w:trHeight w:val="142"/>
        </w:trPr>
        <w:tc>
          <w:tcPr>
            <w:tcW w:w="8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3,332,575</w:t>
            </w: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3,795,643</w:t>
            </w:r>
          </w:p>
        </w:tc>
        <w:tc>
          <w:tcPr>
            <w:tcW w:w="120" w:type="dxa"/>
            <w:vAlign w:val="bottom"/>
            <w:tcBorders>
              <w:top w:val="single" w:sz="8" w:color="CCEEFF"/>
            </w:tcBorders>
            <w:shd w:val="clear" w:color="auto" w:fill="CCEEFF"/>
          </w:tcPr>
          <w:p>
            <w:pPr>
              <w:spacing w:after="0"/>
              <w:rPr>
                <w:sz w:val="12"/>
                <w:szCs w:val="12"/>
                <w:color w:val="auto"/>
              </w:rPr>
            </w:pPr>
          </w:p>
        </w:tc>
      </w:tr>
      <w:tr>
        <w:trPr>
          <w:trHeight w:val="133"/>
        </w:trPr>
        <w:tc>
          <w:tcPr>
            <w:tcW w:w="8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Purchased Power, Purchased Natural Gas and Transmission</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1,235,956</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1,903,246</w:t>
            </w:r>
          </w:p>
        </w:tc>
      </w:tr>
      <w:tr>
        <w:trPr>
          <w:trHeight w:val="144"/>
        </w:trPr>
        <w:tc>
          <w:tcPr>
            <w:tcW w:w="8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462,964</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454,562</w:t>
            </w:r>
          </w:p>
        </w:tc>
      </w:tr>
      <w:tr>
        <w:trPr>
          <w:trHeight w:val="144"/>
        </w:trPr>
        <w:tc>
          <w:tcPr>
            <w:tcW w:w="8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Depreciation</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339,914</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312,955</w:t>
            </w:r>
          </w:p>
        </w:tc>
      </w:tr>
      <w:tr>
        <w:trPr>
          <w:trHeight w:val="144"/>
        </w:trPr>
        <w:tc>
          <w:tcPr>
            <w:tcW w:w="8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(2,325)</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(76,059)</w:t>
            </w:r>
          </w:p>
        </w:tc>
      </w:tr>
      <w:tr>
        <w:trPr>
          <w:trHeight w:val="144"/>
        </w:trPr>
        <w:tc>
          <w:tcPr>
            <w:tcW w:w="8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Energy Efficiency Programs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213,479</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222,952</w:t>
            </w:r>
          </w:p>
        </w:tc>
      </w:tr>
      <w:tr>
        <w:trPr>
          <w:trHeight w:val="153"/>
        </w:trPr>
        <w:tc>
          <w:tcPr>
            <w:tcW w:w="8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Taxes Other Than Income Taxes</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236,614</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228,414</w:t>
            </w:r>
          </w:p>
        </w:tc>
      </w:tr>
      <w:tr>
        <w:trPr>
          <w:trHeight w:val="133"/>
        </w:trPr>
        <w:tc>
          <w:tcPr>
            <w:tcW w:w="8480" w:type="dxa"/>
            <w:vAlign w:val="bottom"/>
            <w:tcBorders>
              <w:bottom w:val="single" w:sz="8" w:color="CCEEFF"/>
            </w:tcBorders>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2,486,602</w:t>
            </w:r>
          </w:p>
        </w:tc>
        <w:tc>
          <w:tcPr>
            <w:tcW w:w="24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3,046,070</w:t>
            </w:r>
          </w:p>
        </w:tc>
        <w:tc>
          <w:tcPr>
            <w:tcW w:w="120" w:type="dxa"/>
            <w:vAlign w:val="bottom"/>
            <w:tcBorders>
              <w:bottom w:val="single" w:sz="8" w:color="CCEEFF"/>
            </w:tcBorders>
          </w:tcPr>
          <w:p>
            <w:pPr>
              <w:spacing w:after="0"/>
              <w:rPr>
                <w:sz w:val="11"/>
                <w:szCs w:val="11"/>
                <w:color w:val="auto"/>
              </w:rPr>
            </w:pPr>
          </w:p>
        </w:tc>
      </w:tr>
      <w:tr>
        <w:trPr>
          <w:trHeight w:val="133"/>
        </w:trPr>
        <w:tc>
          <w:tcPr>
            <w:tcW w:w="84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845,973</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749,573</w:t>
            </w:r>
          </w:p>
        </w:tc>
        <w:tc>
          <w:tcPr>
            <w:tcW w:w="120" w:type="dxa"/>
            <w:vAlign w:val="bottom"/>
            <w:shd w:val="clear" w:color="auto" w:fill="CCEEFF"/>
          </w:tcPr>
          <w:p>
            <w:pPr>
              <w:spacing w:after="0"/>
              <w:rPr>
                <w:sz w:val="11"/>
                <w:szCs w:val="11"/>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250,749</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194,543</w:t>
            </w:r>
          </w:p>
        </w:tc>
      </w:tr>
      <w:tr>
        <w:trPr>
          <w:trHeight w:val="153"/>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91,030</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88,981</w:t>
            </w:r>
          </w:p>
        </w:tc>
      </w:tr>
      <w:tr>
        <w:trPr>
          <w:trHeight w:val="133"/>
        </w:trPr>
        <w:tc>
          <w:tcPr>
            <w:tcW w:w="8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Income Before Income Tax Expense</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686,254</w:t>
            </w: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644,011</w:t>
            </w:r>
          </w:p>
        </w:tc>
        <w:tc>
          <w:tcPr>
            <w:tcW w:w="120" w:type="dxa"/>
            <w:vAlign w:val="bottom"/>
          </w:tcPr>
          <w:p>
            <w:pPr>
              <w:spacing w:after="0"/>
              <w:rPr>
                <w:sz w:val="11"/>
                <w:szCs w:val="11"/>
                <w:color w:val="auto"/>
              </w:rPr>
            </w:pPr>
          </w:p>
        </w:tc>
      </w:tr>
      <w:tr>
        <w:trPr>
          <w:trHeight w:val="153"/>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162,526</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150,972</w:t>
            </w:r>
          </w:p>
        </w:tc>
      </w:tr>
      <w:tr>
        <w:trPr>
          <w:trHeight w:val="133"/>
        </w:trPr>
        <w:tc>
          <w:tcPr>
            <w:tcW w:w="8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523,728</w:t>
            </w: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493,039</w:t>
            </w:r>
          </w:p>
        </w:tc>
        <w:tc>
          <w:tcPr>
            <w:tcW w:w="120" w:type="dxa"/>
            <w:vAlign w:val="bottom"/>
          </w:tcPr>
          <w:p>
            <w:pPr>
              <w:spacing w:after="0"/>
              <w:rPr>
                <w:sz w:val="11"/>
                <w:szCs w:val="11"/>
                <w:color w:val="auto"/>
              </w:rPr>
            </w:pPr>
          </w:p>
        </w:tc>
      </w:tr>
      <w:tr>
        <w:trPr>
          <w:trHeight w:val="153"/>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1,880</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1,880</w:t>
            </w:r>
          </w:p>
        </w:tc>
      </w:tr>
      <w:tr>
        <w:trPr>
          <w:trHeight w:val="149"/>
        </w:trPr>
        <w:tc>
          <w:tcPr>
            <w:tcW w:w="848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Net Income Attributable to Common Shareholders</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521,848</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491,159</w:t>
            </w:r>
          </w:p>
        </w:tc>
        <w:tc>
          <w:tcPr>
            <w:tcW w:w="120" w:type="dxa"/>
            <w:vAlign w:val="bottom"/>
            <w:tcBorders>
              <w:bottom w:val="single" w:sz="8" w:color="CCEEFF"/>
            </w:tcBorders>
          </w:tcPr>
          <w:p>
            <w:pPr>
              <w:spacing w:after="0"/>
              <w:rPr>
                <w:sz w:val="12"/>
                <w:szCs w:val="12"/>
                <w:color w:val="auto"/>
              </w:rPr>
            </w:pPr>
          </w:p>
        </w:tc>
      </w:tr>
      <w:tr>
        <w:trPr>
          <w:trHeight w:val="153"/>
        </w:trPr>
        <w:tc>
          <w:tcPr>
            <w:tcW w:w="8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9"/>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 and Diluted Earnings Per Common Share</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1.49</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1.41</w:t>
            </w:r>
          </w:p>
        </w:tc>
      </w:tr>
      <w:tr>
        <w:trPr>
          <w:trHeight w:val="144"/>
        </w:trPr>
        <w:tc>
          <w:tcPr>
            <w:tcW w:w="8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69"/>
        </w:trPr>
        <w:tc>
          <w:tcPr>
            <w:tcW w:w="8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16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350,717,114</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349,217,147</w:t>
            </w:r>
          </w:p>
        </w:tc>
      </w:tr>
      <w:tr>
        <w:trPr>
          <w:trHeight w:val="151"/>
        </w:trPr>
        <w:tc>
          <w:tcPr>
            <w:tcW w:w="8480" w:type="dxa"/>
            <w:vAlign w:val="bottom"/>
            <w:tcBorders>
              <w:top w:val="single" w:sz="8" w:color="CCEEFF"/>
              <w:bottom w:val="single" w:sz="8" w:color="CCEEFF"/>
            </w:tcBorders>
            <w:gridSpan w:val="2"/>
            <w:shd w:val="clear" w:color="auto" w:fill="CCEEFF"/>
          </w:tcPr>
          <w:p>
            <w:pPr>
              <w:ind w:left="80"/>
              <w:spacing w:after="0" w:line="137" w:lineRule="exact"/>
              <w:rPr>
                <w:sz w:val="20"/>
                <w:szCs w:val="20"/>
                <w:color w:val="auto"/>
              </w:rPr>
            </w:pPr>
            <w:r>
              <w:rPr>
                <w:rFonts w:ascii="Times New Roman" w:cs="Times New Roman" w:eastAsia="Times New Roman" w:hAnsi="Times New Roman"/>
                <w:sz w:val="12"/>
                <w:szCs w:val="12"/>
                <w:color w:val="auto"/>
              </w:rPr>
              <w:t>Diluted</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350,997,220</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349,612,013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33"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The data contained in this report is preliminary and is unaudited. This report is being submitted for the sole purpose of providing information to shareholders about Eversource Energy and Subsidiaries and is not a representation, prospectus, or intended for use in connection with any purchase or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 w:name="page10"/>
    <w:bookmarkEnd w:id="9"/>
    <w:p>
      <w:pPr>
        <w:ind w:left="942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926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37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937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2024-05-01T16:22:31Z</dcterms:created>
  <dcterms:modified xsi:type="dcterms:W3CDTF">2024-05-01T16:22:31Z</dcterms:modified>
</cp:coreProperties>
</file>