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00"/>
        <w:spacing w:after="0"/>
        <w:rPr>
          <w:sz w:val="20"/>
          <w:szCs w:val="20"/>
          <w:color w:val="auto"/>
        </w:rPr>
      </w:pPr>
      <w:r>
        <w:rPr>
          <w:rFonts w:ascii="Courier New" w:cs="Courier New" w:eastAsia="Courier New" w:hAnsi="Courier New"/>
          <w:sz w:val="16"/>
          <w:szCs w:val="16"/>
          <w:color w:val="auto"/>
        </w:rPr>
        <w:t>FILE NO. 70-8479 U-1/A</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ind w:left="2640"/>
        <w:spacing w:after="0"/>
        <w:tabs>
          <w:tab w:leader="none" w:pos="4380" w:val="left"/>
        </w:tabs>
        <w:rPr>
          <w:sz w:val="20"/>
          <w:szCs w:val="20"/>
          <w:color w:val="auto"/>
        </w:rPr>
      </w:pPr>
      <w:r>
        <w:rPr>
          <w:rFonts w:ascii="Courier New" w:cs="Courier New" w:eastAsia="Courier New" w:hAnsi="Courier New"/>
          <w:sz w:val="16"/>
          <w:szCs w:val="16"/>
          <w:color w:val="auto"/>
        </w:rPr>
        <w:t>Washington, D.C.</w:t>
        <w:tab/>
        <w:t>20549</w:t>
      </w:r>
    </w:p>
    <w:p>
      <w:pPr>
        <w:spacing w:after="0" w:line="195"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AMENDMENT NO. 2 TO</w:t>
      </w:r>
    </w:p>
    <w:p>
      <w:pPr>
        <w:spacing w:after="0" w:line="7"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FORM U-1</w:t>
      </w:r>
    </w:p>
    <w:p>
      <w:pPr>
        <w:spacing w:after="0" w:line="7"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APPLICATION/DECLARATION WITH RESPECT TO:</w:t>
      </w:r>
    </w:p>
    <w:p>
      <w:pPr>
        <w:spacing w:after="0" w:line="7" w:lineRule="exact"/>
        <w:rPr>
          <w:sz w:val="24"/>
          <w:szCs w:val="24"/>
          <w:color w:val="auto"/>
        </w:rPr>
      </w:pPr>
    </w:p>
    <w:p>
      <w:pPr>
        <w:jc w:val="both"/>
        <w:ind w:left="1460" w:right="3759" w:hanging="482"/>
        <w:spacing w:after="0" w:line="248" w:lineRule="auto"/>
        <w:tabs>
          <w:tab w:leader="none" w:pos="14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SHORT-TERM BORROWINGS EVIDENCED BY NOTES TO LENDING INSTITUTIONS AND TO PURCHASERS OF COMMERCIAL PAPER;</w:t>
      </w:r>
    </w:p>
    <w:p>
      <w:pPr>
        <w:spacing w:after="0" w:line="1" w:lineRule="exact"/>
        <w:rPr>
          <w:rFonts w:ascii="Courier New" w:cs="Courier New" w:eastAsia="Courier New" w:hAnsi="Courier New"/>
          <w:sz w:val="16"/>
          <w:szCs w:val="16"/>
          <w:color w:val="auto"/>
        </w:rPr>
      </w:pPr>
    </w:p>
    <w:p>
      <w:pPr>
        <w:ind w:left="1460" w:hanging="482"/>
        <w:spacing w:after="0"/>
        <w:tabs>
          <w:tab w:leader="none" w:pos="14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OPEN ACCOUNT ADVANCES; AND</w:t>
      </w:r>
    </w:p>
    <w:p>
      <w:pPr>
        <w:spacing w:after="0" w:line="6" w:lineRule="exact"/>
        <w:rPr>
          <w:rFonts w:ascii="Courier New" w:cs="Courier New" w:eastAsia="Courier New" w:hAnsi="Courier New"/>
          <w:sz w:val="16"/>
          <w:szCs w:val="16"/>
          <w:color w:val="auto"/>
        </w:rPr>
      </w:pPr>
    </w:p>
    <w:p>
      <w:pPr>
        <w:ind w:left="1460" w:hanging="482"/>
        <w:spacing w:after="0"/>
        <w:tabs>
          <w:tab w:leader="none" w:pos="14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USE OF A SYSTEM COMPANY MONEY POOL</w:t>
      </w:r>
    </w:p>
    <w:p>
      <w:pPr>
        <w:spacing w:after="0" w:line="195"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Under</w:t>
      </w:r>
    </w:p>
    <w:p>
      <w:pPr>
        <w:spacing w:after="0" w:line="7"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THE PUBLIC UTILITY HOLDING COMPANY ACT OF 1935</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Courier New" w:cs="Courier New" w:eastAsia="Courier New" w:hAnsi="Courier New"/>
                <w:sz w:val="16"/>
                <w:szCs w:val="16"/>
                <w:color w:val="auto"/>
              </w:rPr>
              <w:t>NORTHEAST</w:t>
            </w:r>
          </w:p>
        </w:tc>
        <w:tc>
          <w:tcPr>
            <w:tcW w:w="2300" w:type="dxa"/>
            <w:vAlign w:val="bottom"/>
          </w:tcPr>
          <w:p>
            <w:pPr>
              <w:ind w:left="60"/>
              <w:spacing w:after="0"/>
              <w:rPr>
                <w:sz w:val="20"/>
                <w:szCs w:val="20"/>
                <w:color w:val="auto"/>
              </w:rPr>
            </w:pPr>
            <w:r>
              <w:rPr>
                <w:rFonts w:ascii="Courier New" w:cs="Courier New" w:eastAsia="Courier New" w:hAnsi="Courier New"/>
                <w:sz w:val="16"/>
                <w:szCs w:val="16"/>
                <w:color w:val="auto"/>
              </w:rPr>
              <w:t>UTILITIES</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HOLYOKE WATER POWER</w:t>
            </w:r>
          </w:p>
        </w:tc>
      </w:tr>
      <w:tr>
        <w:trPr>
          <w:trHeight w:val="188"/>
        </w:trPr>
        <w:tc>
          <w:tcPr>
            <w:tcW w:w="3220" w:type="dxa"/>
            <w:vAlign w:val="bottom"/>
            <w:gridSpan w:val="2"/>
          </w:tcPr>
          <w:p>
            <w:pPr>
              <w:spacing w:after="0"/>
              <w:rPr>
                <w:sz w:val="20"/>
                <w:szCs w:val="20"/>
                <w:color w:val="auto"/>
              </w:rPr>
            </w:pPr>
            <w:r>
              <w:rPr>
                <w:rFonts w:ascii="Courier New" w:cs="Courier New" w:eastAsia="Courier New" w:hAnsi="Courier New"/>
                <w:sz w:val="16"/>
                <w:szCs w:val="16"/>
                <w:color w:val="auto"/>
              </w:rPr>
              <w:t>WESTERN MASSACHUSETTS ELECTRIC</w:t>
            </w:r>
          </w:p>
        </w:tc>
        <w:tc>
          <w:tcPr>
            <w:tcW w:w="3420" w:type="dxa"/>
            <w:vAlign w:val="bottom"/>
          </w:tcPr>
          <w:p>
            <w:pPr>
              <w:ind w:left="400"/>
              <w:spacing w:after="0"/>
              <w:rPr>
                <w:sz w:val="20"/>
                <w:szCs w:val="20"/>
                <w:color w:val="auto"/>
              </w:rPr>
            </w:pPr>
            <w:r>
              <w:rPr>
                <w:rFonts w:ascii="Courier New" w:cs="Courier New" w:eastAsia="Courier New" w:hAnsi="Courier New"/>
                <w:sz w:val="16"/>
                <w:szCs w:val="16"/>
                <w:color w:val="auto"/>
              </w:rPr>
              <w:t>COMPANY</w:t>
            </w:r>
          </w:p>
        </w:tc>
      </w:tr>
      <w:tr>
        <w:trPr>
          <w:trHeight w:val="188"/>
        </w:trPr>
        <w:tc>
          <w:tcPr>
            <w:tcW w:w="920" w:type="dxa"/>
            <w:vAlign w:val="bottom"/>
          </w:tcPr>
          <w:p>
            <w:pPr>
              <w:ind w:left="200"/>
              <w:spacing w:after="0"/>
              <w:rPr>
                <w:sz w:val="20"/>
                <w:szCs w:val="20"/>
                <w:color w:val="auto"/>
              </w:rPr>
            </w:pPr>
            <w:r>
              <w:rPr>
                <w:rFonts w:ascii="Courier New" w:cs="Courier New" w:eastAsia="Courier New" w:hAnsi="Courier New"/>
                <w:sz w:val="16"/>
                <w:szCs w:val="16"/>
                <w:color w:val="auto"/>
              </w:rPr>
              <w:t>COMPANY</w:t>
            </w:r>
          </w:p>
        </w:tc>
        <w:tc>
          <w:tcPr>
            <w:tcW w:w="2300" w:type="dxa"/>
            <w:vAlign w:val="bottom"/>
          </w:tcPr>
          <w:p>
            <w:pPr>
              <w:spacing w:after="0"/>
              <w:rPr>
                <w:sz w:val="16"/>
                <w:szCs w:val="16"/>
                <w:color w:val="auto"/>
              </w:rPr>
            </w:pP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Canal Street</w:t>
            </w:r>
          </w:p>
        </w:tc>
      </w:tr>
      <w:tr>
        <w:trPr>
          <w:trHeight w:val="188"/>
        </w:trPr>
        <w:tc>
          <w:tcPr>
            <w:tcW w:w="3220" w:type="dxa"/>
            <w:vAlign w:val="bottom"/>
            <w:gridSpan w:val="2"/>
          </w:tcPr>
          <w:p>
            <w:pPr>
              <w:spacing w:after="0"/>
              <w:rPr>
                <w:sz w:val="20"/>
                <w:szCs w:val="20"/>
                <w:color w:val="auto"/>
              </w:rPr>
            </w:pPr>
            <w:r>
              <w:rPr>
                <w:rFonts w:ascii="Courier New" w:cs="Courier New" w:eastAsia="Courier New" w:hAnsi="Courier New"/>
                <w:sz w:val="16"/>
                <w:szCs w:val="16"/>
                <w:color w:val="auto"/>
              </w:rPr>
              <w:t>THE QUINNEHTUK COMPANY</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Holyoke, MA 01040</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174 Brush</w:t>
            </w:r>
          </w:p>
        </w:tc>
        <w:tc>
          <w:tcPr>
            <w:tcW w:w="2300" w:type="dxa"/>
            <w:vAlign w:val="bottom"/>
          </w:tcPr>
          <w:p>
            <w:pPr>
              <w:ind w:left="60"/>
              <w:spacing w:after="0"/>
              <w:rPr>
                <w:sz w:val="20"/>
                <w:szCs w:val="20"/>
                <w:color w:val="auto"/>
              </w:rPr>
            </w:pPr>
            <w:r>
              <w:rPr>
                <w:rFonts w:ascii="Courier New" w:cs="Courier New" w:eastAsia="Courier New" w:hAnsi="Courier New"/>
                <w:sz w:val="16"/>
                <w:szCs w:val="16"/>
                <w:color w:val="auto"/>
              </w:rPr>
              <w:t>Hill Avenue</w:t>
            </w:r>
          </w:p>
        </w:tc>
        <w:tc>
          <w:tcPr>
            <w:tcW w:w="3420" w:type="dxa"/>
            <w:vAlign w:val="bottom"/>
          </w:tcPr>
          <w:p>
            <w:pPr>
              <w:spacing w:after="0"/>
              <w:rPr>
                <w:sz w:val="16"/>
                <w:szCs w:val="16"/>
                <w:color w:val="auto"/>
              </w:rPr>
            </w:pPr>
          </w:p>
        </w:tc>
      </w:tr>
      <w:tr>
        <w:trPr>
          <w:trHeight w:val="188"/>
        </w:trPr>
        <w:tc>
          <w:tcPr>
            <w:tcW w:w="3220" w:type="dxa"/>
            <w:vAlign w:val="bottom"/>
            <w:gridSpan w:val="2"/>
          </w:tcPr>
          <w:p>
            <w:pPr>
              <w:spacing w:after="0"/>
              <w:rPr>
                <w:sz w:val="20"/>
                <w:szCs w:val="20"/>
                <w:color w:val="auto"/>
              </w:rPr>
            </w:pPr>
            <w:r>
              <w:rPr>
                <w:rFonts w:ascii="Courier New" w:cs="Courier New" w:eastAsia="Courier New" w:hAnsi="Courier New"/>
                <w:sz w:val="16"/>
                <w:szCs w:val="16"/>
                <w:color w:val="auto"/>
              </w:rPr>
              <w:t>West Springfield, MA 01809</w:t>
            </w:r>
          </w:p>
        </w:tc>
        <w:tc>
          <w:tcPr>
            <w:tcW w:w="3420" w:type="dxa"/>
            <w:vAlign w:val="bottom"/>
          </w:tcPr>
          <w:p>
            <w:pPr>
              <w:spacing w:after="0"/>
              <w:rPr>
                <w:sz w:val="16"/>
                <w:szCs w:val="16"/>
                <w:color w:val="auto"/>
              </w:rPr>
            </w:pPr>
          </w:p>
        </w:tc>
      </w:tr>
      <w:tr>
        <w:trPr>
          <w:trHeight w:val="376"/>
        </w:trPr>
        <w:tc>
          <w:tcPr>
            <w:tcW w:w="3220" w:type="dxa"/>
            <w:vAlign w:val="bottom"/>
            <w:gridSpan w:val="2"/>
          </w:tcPr>
          <w:p>
            <w:pPr>
              <w:spacing w:after="0"/>
              <w:rPr>
                <w:sz w:val="20"/>
                <w:szCs w:val="20"/>
                <w:color w:val="auto"/>
              </w:rPr>
            </w:pPr>
            <w:r>
              <w:rPr>
                <w:rFonts w:ascii="Courier New" w:cs="Courier New" w:eastAsia="Courier New" w:hAnsi="Courier New"/>
                <w:sz w:val="16"/>
                <w:szCs w:val="16"/>
                <w:color w:val="auto"/>
              </w:rPr>
              <w:t>THE CONNECTICUT LIGHT AND POWER</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PUBLIC SERVICE COMPANY OF</w:t>
            </w:r>
          </w:p>
        </w:tc>
      </w:tr>
      <w:tr>
        <w:trPr>
          <w:trHeight w:val="188"/>
        </w:trPr>
        <w:tc>
          <w:tcPr>
            <w:tcW w:w="920" w:type="dxa"/>
            <w:vAlign w:val="bottom"/>
          </w:tcPr>
          <w:p>
            <w:pPr>
              <w:ind w:left="200"/>
              <w:spacing w:after="0"/>
              <w:rPr>
                <w:sz w:val="20"/>
                <w:szCs w:val="20"/>
                <w:color w:val="auto"/>
              </w:rPr>
            </w:pPr>
            <w:r>
              <w:rPr>
                <w:rFonts w:ascii="Courier New" w:cs="Courier New" w:eastAsia="Courier New" w:hAnsi="Courier New"/>
                <w:sz w:val="16"/>
                <w:szCs w:val="16"/>
                <w:color w:val="auto"/>
              </w:rPr>
              <w:t>COMPANY</w:t>
            </w:r>
          </w:p>
        </w:tc>
        <w:tc>
          <w:tcPr>
            <w:tcW w:w="2300" w:type="dxa"/>
            <w:vAlign w:val="bottom"/>
          </w:tcPr>
          <w:p>
            <w:pPr>
              <w:spacing w:after="0"/>
              <w:rPr>
                <w:sz w:val="16"/>
                <w:szCs w:val="16"/>
                <w:color w:val="auto"/>
              </w:rPr>
            </w:pPr>
          </w:p>
        </w:tc>
        <w:tc>
          <w:tcPr>
            <w:tcW w:w="3420" w:type="dxa"/>
            <w:vAlign w:val="bottom"/>
          </w:tcPr>
          <w:p>
            <w:pPr>
              <w:ind w:left="400"/>
              <w:spacing w:after="0"/>
              <w:rPr>
                <w:sz w:val="20"/>
                <w:szCs w:val="20"/>
                <w:color w:val="auto"/>
              </w:rPr>
            </w:pPr>
            <w:r>
              <w:rPr>
                <w:rFonts w:ascii="Courier New" w:cs="Courier New" w:eastAsia="Courier New" w:hAnsi="Courier New"/>
                <w:sz w:val="16"/>
                <w:szCs w:val="16"/>
                <w:color w:val="auto"/>
              </w:rPr>
              <w:t>NEW HAMPSHIRE</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NORTHEAST</w:t>
            </w:r>
          </w:p>
        </w:tc>
        <w:tc>
          <w:tcPr>
            <w:tcW w:w="2300" w:type="dxa"/>
            <w:vAlign w:val="bottom"/>
          </w:tcPr>
          <w:p>
            <w:pPr>
              <w:ind w:left="60"/>
              <w:spacing w:after="0"/>
              <w:rPr>
                <w:sz w:val="20"/>
                <w:szCs w:val="20"/>
                <w:color w:val="auto"/>
              </w:rPr>
            </w:pPr>
            <w:r>
              <w:rPr>
                <w:rFonts w:ascii="Courier New" w:cs="Courier New" w:eastAsia="Courier New" w:hAnsi="Courier New"/>
                <w:sz w:val="16"/>
                <w:szCs w:val="16"/>
                <w:color w:val="auto"/>
              </w:rPr>
              <w:t>NUCLEAR ENERGY</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NORTH ATLANTIC ENERGY</w:t>
            </w:r>
          </w:p>
        </w:tc>
      </w:tr>
      <w:tr>
        <w:trPr>
          <w:trHeight w:val="188"/>
        </w:trPr>
        <w:tc>
          <w:tcPr>
            <w:tcW w:w="920" w:type="dxa"/>
            <w:vAlign w:val="bottom"/>
          </w:tcPr>
          <w:p>
            <w:pPr>
              <w:ind w:left="200"/>
              <w:spacing w:after="0"/>
              <w:rPr>
                <w:sz w:val="20"/>
                <w:szCs w:val="20"/>
                <w:color w:val="auto"/>
              </w:rPr>
            </w:pPr>
            <w:r>
              <w:rPr>
                <w:rFonts w:ascii="Courier New" w:cs="Courier New" w:eastAsia="Courier New" w:hAnsi="Courier New"/>
                <w:sz w:val="16"/>
                <w:szCs w:val="16"/>
                <w:color w:val="auto"/>
              </w:rPr>
              <w:t>COMPANY</w:t>
            </w:r>
          </w:p>
        </w:tc>
        <w:tc>
          <w:tcPr>
            <w:tcW w:w="2300" w:type="dxa"/>
            <w:vAlign w:val="bottom"/>
          </w:tcPr>
          <w:p>
            <w:pPr>
              <w:spacing w:after="0"/>
              <w:rPr>
                <w:sz w:val="16"/>
                <w:szCs w:val="16"/>
                <w:color w:val="auto"/>
              </w:rPr>
            </w:pPr>
          </w:p>
        </w:tc>
        <w:tc>
          <w:tcPr>
            <w:tcW w:w="3420" w:type="dxa"/>
            <w:vAlign w:val="bottom"/>
          </w:tcPr>
          <w:p>
            <w:pPr>
              <w:ind w:left="400"/>
              <w:spacing w:after="0"/>
              <w:rPr>
                <w:sz w:val="20"/>
                <w:szCs w:val="20"/>
                <w:color w:val="auto"/>
              </w:rPr>
            </w:pPr>
            <w:r>
              <w:rPr>
                <w:rFonts w:ascii="Courier New" w:cs="Courier New" w:eastAsia="Courier New" w:hAnsi="Courier New"/>
                <w:sz w:val="16"/>
                <w:szCs w:val="16"/>
                <w:color w:val="auto"/>
              </w:rPr>
              <w:t>CORPORATION</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THE ROCKY</w:t>
            </w:r>
          </w:p>
        </w:tc>
        <w:tc>
          <w:tcPr>
            <w:tcW w:w="2300" w:type="dxa"/>
            <w:vAlign w:val="bottom"/>
          </w:tcPr>
          <w:p>
            <w:pPr>
              <w:ind w:left="60"/>
              <w:spacing w:after="0"/>
              <w:rPr>
                <w:sz w:val="20"/>
                <w:szCs w:val="20"/>
                <w:color w:val="auto"/>
              </w:rPr>
            </w:pPr>
            <w:r>
              <w:rPr>
                <w:rFonts w:ascii="Courier New" w:cs="Courier New" w:eastAsia="Courier New" w:hAnsi="Courier New"/>
                <w:sz w:val="16"/>
                <w:szCs w:val="16"/>
                <w:color w:val="auto"/>
              </w:rPr>
              <w:t>RIVER REALTY COMPANY</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1000 Elm Street</w:t>
            </w:r>
          </w:p>
        </w:tc>
      </w:tr>
      <w:tr>
        <w:trPr>
          <w:trHeight w:val="188"/>
        </w:trPr>
        <w:tc>
          <w:tcPr>
            <w:tcW w:w="3220" w:type="dxa"/>
            <w:vAlign w:val="bottom"/>
            <w:gridSpan w:val="2"/>
          </w:tcPr>
          <w:p>
            <w:pPr>
              <w:spacing w:after="0"/>
              <w:rPr>
                <w:sz w:val="20"/>
                <w:szCs w:val="20"/>
                <w:color w:val="auto"/>
              </w:rPr>
            </w:pPr>
            <w:r>
              <w:rPr>
                <w:rFonts w:ascii="Courier New" w:cs="Courier New" w:eastAsia="Courier New" w:hAnsi="Courier New"/>
                <w:sz w:val="16"/>
                <w:szCs w:val="16"/>
                <w:color w:val="auto"/>
              </w:rPr>
              <w:t>107 Selden Street</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Manchester, NH 03015</w:t>
            </w:r>
          </w:p>
        </w:tc>
      </w:tr>
      <w:tr>
        <w:trPr>
          <w:trHeight w:val="188"/>
        </w:trPr>
        <w:tc>
          <w:tcPr>
            <w:tcW w:w="3220" w:type="dxa"/>
            <w:vAlign w:val="bottom"/>
            <w:gridSpan w:val="2"/>
          </w:tcPr>
          <w:p>
            <w:pPr>
              <w:spacing w:after="0"/>
              <w:rPr>
                <w:sz w:val="20"/>
                <w:szCs w:val="20"/>
                <w:color w:val="auto"/>
              </w:rPr>
            </w:pPr>
            <w:r>
              <w:rPr>
                <w:rFonts w:ascii="Courier New" w:cs="Courier New" w:eastAsia="Courier New" w:hAnsi="Courier New"/>
                <w:sz w:val="16"/>
                <w:szCs w:val="16"/>
                <w:color w:val="auto"/>
              </w:rPr>
              <w:t>Berlin, CT 06037</w:t>
            </w:r>
          </w:p>
        </w:tc>
        <w:tc>
          <w:tcPr>
            <w:tcW w:w="3420" w:type="dxa"/>
            <w:vAlign w:val="bottom"/>
          </w:tcPr>
          <w:p>
            <w:pPr>
              <w:spacing w:after="0"/>
              <w:rPr>
                <w:sz w:val="16"/>
                <w:szCs w:val="16"/>
                <w:color w:val="auto"/>
              </w:rPr>
            </w:pPr>
          </w:p>
        </w:tc>
      </w:tr>
      <w:tr>
        <w:trPr>
          <w:trHeight w:val="376"/>
        </w:trPr>
        <w:tc>
          <w:tcPr>
            <w:tcW w:w="920" w:type="dxa"/>
            <w:vAlign w:val="bottom"/>
          </w:tcPr>
          <w:p>
            <w:pPr>
              <w:spacing w:after="0"/>
              <w:rPr>
                <w:sz w:val="20"/>
                <w:szCs w:val="20"/>
                <w:color w:val="auto"/>
              </w:rPr>
            </w:pPr>
            <w:r>
              <w:rPr>
                <w:rFonts w:ascii="Courier New" w:cs="Courier New" w:eastAsia="Courier New" w:hAnsi="Courier New"/>
                <w:sz w:val="16"/>
                <w:szCs w:val="16"/>
                <w:color w:val="auto"/>
              </w:rPr>
              <w:t>HEC INC.</w:t>
            </w:r>
          </w:p>
        </w:tc>
        <w:tc>
          <w:tcPr>
            <w:tcW w:w="23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88"/>
        </w:trPr>
        <w:tc>
          <w:tcPr>
            <w:tcW w:w="3220" w:type="dxa"/>
            <w:vAlign w:val="bottom"/>
            <w:gridSpan w:val="2"/>
          </w:tcPr>
          <w:p>
            <w:pPr>
              <w:spacing w:after="0"/>
              <w:rPr>
                <w:sz w:val="20"/>
                <w:szCs w:val="20"/>
                <w:color w:val="auto"/>
              </w:rPr>
            </w:pPr>
            <w:r>
              <w:rPr>
                <w:rFonts w:ascii="Courier New" w:cs="Courier New" w:eastAsia="Courier New" w:hAnsi="Courier New"/>
                <w:sz w:val="16"/>
                <w:szCs w:val="16"/>
                <w:color w:val="auto"/>
              </w:rPr>
              <w:t>24 Prime Parkway</w:t>
            </w:r>
          </w:p>
        </w:tc>
        <w:tc>
          <w:tcPr>
            <w:tcW w:w="3420" w:type="dxa"/>
            <w:vAlign w:val="bottom"/>
          </w:tcPr>
          <w:p>
            <w:pPr>
              <w:spacing w:after="0"/>
              <w:rPr>
                <w:sz w:val="16"/>
                <w:szCs w:val="16"/>
                <w:color w:val="auto"/>
              </w:rPr>
            </w:pPr>
          </w:p>
        </w:tc>
      </w:tr>
      <w:tr>
        <w:trPr>
          <w:trHeight w:val="188"/>
        </w:trPr>
        <w:tc>
          <w:tcPr>
            <w:tcW w:w="3220" w:type="dxa"/>
            <w:vAlign w:val="bottom"/>
            <w:gridSpan w:val="2"/>
          </w:tcPr>
          <w:p>
            <w:pPr>
              <w:spacing w:after="0"/>
              <w:rPr>
                <w:sz w:val="20"/>
                <w:szCs w:val="20"/>
                <w:color w:val="auto"/>
              </w:rPr>
            </w:pPr>
            <w:r>
              <w:rPr>
                <w:rFonts w:ascii="Courier New" w:cs="Courier New" w:eastAsia="Courier New" w:hAnsi="Courier New"/>
                <w:sz w:val="16"/>
                <w:szCs w:val="16"/>
                <w:color w:val="auto"/>
              </w:rPr>
              <w:t>Natick, MA 01760</w:t>
            </w:r>
          </w:p>
        </w:tc>
        <w:tc>
          <w:tcPr>
            <w:tcW w:w="3420" w:type="dxa"/>
            <w:vAlign w:val="bottom"/>
          </w:tcPr>
          <w:p>
            <w:pPr>
              <w:spacing w:after="0"/>
              <w:rPr>
                <w:sz w:val="16"/>
                <w:szCs w:val="16"/>
                <w:color w:val="auto"/>
              </w:rPr>
            </w:pP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(Names of</w:t>
            </w:r>
          </w:p>
        </w:tc>
        <w:tc>
          <w:tcPr>
            <w:tcW w:w="5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companies filing this statement and addresses of principal</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executive</w:t>
            </w:r>
          </w:p>
        </w:tc>
        <w:tc>
          <w:tcPr>
            <w:tcW w:w="2300" w:type="dxa"/>
            <w:vAlign w:val="bottom"/>
          </w:tcPr>
          <w:p>
            <w:pPr>
              <w:ind w:left="60"/>
              <w:spacing w:after="0"/>
              <w:rPr>
                <w:sz w:val="20"/>
                <w:szCs w:val="20"/>
                <w:color w:val="auto"/>
              </w:rPr>
            </w:pPr>
            <w:r>
              <w:rPr>
                <w:rFonts w:ascii="Courier New" w:cs="Courier New" w:eastAsia="Courier New" w:hAnsi="Courier New"/>
                <w:sz w:val="16"/>
                <w:szCs w:val="16"/>
                <w:color w:val="auto"/>
              </w:rPr>
              <w:t>offices)</w:t>
            </w:r>
          </w:p>
        </w:tc>
        <w:tc>
          <w:tcPr>
            <w:tcW w:w="3420" w:type="dxa"/>
            <w:vAlign w:val="bottom"/>
          </w:tcPr>
          <w:p>
            <w:pPr>
              <w:spacing w:after="0"/>
              <w:rPr>
                <w:sz w:val="16"/>
                <w:szCs w:val="16"/>
                <w:color w:val="auto"/>
              </w:rPr>
            </w:pPr>
          </w:p>
        </w:tc>
      </w:tr>
    </w:tbl>
    <w:p>
      <w:pPr>
        <w:spacing w:after="0" w:line="192"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NORTHEAST UTILITIES</w:t>
      </w:r>
    </w:p>
    <w:p>
      <w:pPr>
        <w:spacing w:after="0" w:line="7"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(Name of top registered holding company)</w:t>
      </w:r>
    </w:p>
    <w:p>
      <w:pPr>
        <w:spacing w:after="0" w:line="195"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Robert P. Wax, Esq.</w:t>
      </w:r>
    </w:p>
    <w:p>
      <w:pPr>
        <w:spacing w:after="0" w:line="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Vice President, Secretary and General Counsel</w:t>
      </w:r>
    </w:p>
    <w:p>
      <w:pPr>
        <w:spacing w:after="0" w:line="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Northeast Utilities Service Company</w:t>
      </w:r>
    </w:p>
    <w:p>
      <w:pPr>
        <w:spacing w:after="0" w:line="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107 Selden Street</w:t>
      </w:r>
    </w:p>
    <w:p>
      <w:pPr>
        <w:spacing w:after="0" w:line="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Berlin, Connecticut 06037</w:t>
      </w:r>
    </w:p>
    <w:p>
      <w:pPr>
        <w:spacing w:after="0" w:line="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(Name and address of agent for service)</w:t>
      </w:r>
    </w:p>
    <w:p>
      <w:pPr>
        <w:spacing w:after="0" w:line="195" w:lineRule="exact"/>
        <w:rPr>
          <w:sz w:val="24"/>
          <w:szCs w:val="24"/>
          <w:color w:val="auto"/>
        </w:rPr>
      </w:pPr>
    </w:p>
    <w:p>
      <w:pPr>
        <w:ind w:right="2799"/>
        <w:spacing w:after="0" w:line="252" w:lineRule="auto"/>
        <w:rPr>
          <w:sz w:val="20"/>
          <w:szCs w:val="20"/>
          <w:color w:val="auto"/>
        </w:rPr>
      </w:pPr>
      <w:r>
        <w:rPr>
          <w:rFonts w:ascii="Courier New" w:cs="Courier New" w:eastAsia="Courier New" w:hAnsi="Courier New"/>
          <w:sz w:val="16"/>
          <w:szCs w:val="16"/>
          <w:color w:val="auto"/>
        </w:rPr>
        <w:t>The Commission is requested to mail signed copies of all orders, notices and communications to:</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20"/>
                <w:szCs w:val="20"/>
                <w:color w:val="auto"/>
              </w:rPr>
            </w:pPr>
            <w:r>
              <w:rPr>
                <w:rFonts w:ascii="Courier New" w:cs="Courier New" w:eastAsia="Courier New" w:hAnsi="Courier New"/>
                <w:sz w:val="16"/>
                <w:szCs w:val="16"/>
                <w:color w:val="auto"/>
              </w:rPr>
              <w:t>Jeffrey</w:t>
            </w:r>
          </w:p>
        </w:tc>
        <w:tc>
          <w:tcPr>
            <w:tcW w:w="2780" w:type="dxa"/>
            <w:vAlign w:val="bottom"/>
            <w:gridSpan w:val="3"/>
          </w:tcPr>
          <w:p>
            <w:pPr>
              <w:jc w:val="right"/>
              <w:ind w:right="1199"/>
              <w:spacing w:after="0"/>
              <w:rPr>
                <w:sz w:val="20"/>
                <w:szCs w:val="20"/>
                <w:color w:val="auto"/>
              </w:rPr>
            </w:pPr>
            <w:r>
              <w:rPr>
                <w:rFonts w:ascii="Courier New" w:cs="Courier New" w:eastAsia="Courier New" w:hAnsi="Courier New"/>
                <w:sz w:val="16"/>
                <w:szCs w:val="16"/>
                <w:color w:val="auto"/>
              </w:rPr>
              <w:t>C. Miller, Esq.</w:t>
            </w:r>
          </w:p>
        </w:tc>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David R. McHale</w:t>
            </w:r>
          </w:p>
        </w:tc>
        <w:tc>
          <w:tcPr>
            <w:tcW w:w="1820" w:type="dxa"/>
            <w:vAlign w:val="bottom"/>
          </w:tcPr>
          <w:p>
            <w:pPr>
              <w:spacing w:after="0"/>
              <w:rPr>
                <w:sz w:val="15"/>
                <w:szCs w:val="15"/>
                <w:color w:val="auto"/>
              </w:rPr>
            </w:pPr>
          </w:p>
        </w:tc>
      </w:tr>
      <w:tr>
        <w:trPr>
          <w:trHeight w:val="188"/>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Assistant</w:t>
            </w:r>
          </w:p>
        </w:tc>
        <w:tc>
          <w:tcPr>
            <w:tcW w:w="2600" w:type="dxa"/>
            <w:vAlign w:val="bottom"/>
            <w:gridSpan w:val="2"/>
          </w:tcPr>
          <w:p>
            <w:pPr>
              <w:jc w:val="right"/>
              <w:ind w:right="999"/>
              <w:spacing w:after="0"/>
              <w:rPr>
                <w:sz w:val="20"/>
                <w:szCs w:val="20"/>
                <w:color w:val="auto"/>
              </w:rPr>
            </w:pPr>
            <w:r>
              <w:rPr>
                <w:rFonts w:ascii="Courier New" w:cs="Courier New" w:eastAsia="Courier New" w:hAnsi="Courier New"/>
                <w:sz w:val="16"/>
                <w:szCs w:val="16"/>
                <w:color w:val="auto"/>
              </w:rPr>
              <w:t>General Counsel</w:t>
            </w:r>
          </w:p>
        </w:tc>
        <w:tc>
          <w:tcPr>
            <w:tcW w:w="38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Manager-Short Term and Project Finance</w:t>
            </w:r>
          </w:p>
        </w:tc>
      </w:tr>
      <w:tr>
        <w:trPr>
          <w:trHeight w:val="188"/>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Northeast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Utilities</w:t>
            </w:r>
          </w:p>
        </w:tc>
        <w:tc>
          <w:tcPr>
            <w:tcW w:w="1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Service Company</w:t>
            </w:r>
          </w:p>
        </w:tc>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Northeast Utilities</w:t>
            </w:r>
          </w:p>
        </w:tc>
        <w:tc>
          <w:tcPr>
            <w:tcW w:w="1820" w:type="dxa"/>
            <w:vAlign w:val="bottom"/>
          </w:tcPr>
          <w:p>
            <w:pPr>
              <w:ind w:left="60"/>
              <w:spacing w:after="0"/>
              <w:rPr>
                <w:sz w:val="20"/>
                <w:szCs w:val="20"/>
                <w:color w:val="auto"/>
              </w:rPr>
            </w:pPr>
            <w:r>
              <w:rPr>
                <w:rFonts w:ascii="Courier New" w:cs="Courier New" w:eastAsia="Courier New" w:hAnsi="Courier New"/>
                <w:sz w:val="16"/>
                <w:szCs w:val="16"/>
                <w:color w:val="auto"/>
              </w:rPr>
              <w:t>Service Company</w:t>
            </w:r>
          </w:p>
        </w:tc>
      </w:tr>
      <w:tr>
        <w:trPr>
          <w:trHeight w:val="188"/>
        </w:trPr>
        <w:tc>
          <w:tcPr>
            <w:tcW w:w="1900" w:type="dxa"/>
            <w:vAlign w:val="bottom"/>
            <w:gridSpan w:val="3"/>
          </w:tcPr>
          <w:p>
            <w:pPr>
              <w:spacing w:after="0"/>
              <w:rPr>
                <w:sz w:val="20"/>
                <w:szCs w:val="20"/>
                <w:color w:val="auto"/>
              </w:rPr>
            </w:pPr>
            <w:r>
              <w:rPr>
                <w:rFonts w:ascii="Courier New" w:cs="Courier New" w:eastAsia="Courier New" w:hAnsi="Courier New"/>
                <w:sz w:val="16"/>
                <w:szCs w:val="16"/>
                <w:color w:val="auto"/>
              </w:rPr>
              <w:t>107 Selden Street</w:t>
            </w:r>
          </w:p>
        </w:tc>
        <w:tc>
          <w:tcPr>
            <w:tcW w:w="1620" w:type="dxa"/>
            <w:vAlign w:val="bottom"/>
          </w:tcPr>
          <w:p>
            <w:pPr>
              <w:spacing w:after="0"/>
              <w:rPr>
                <w:sz w:val="16"/>
                <w:szCs w:val="16"/>
                <w:color w:val="auto"/>
              </w:rPr>
            </w:pPr>
          </w:p>
        </w:tc>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107 Selden Street</w:t>
            </w:r>
          </w:p>
        </w:tc>
        <w:tc>
          <w:tcPr>
            <w:tcW w:w="1820" w:type="dxa"/>
            <w:vAlign w:val="bottom"/>
          </w:tcPr>
          <w:p>
            <w:pPr>
              <w:spacing w:after="0"/>
              <w:rPr>
                <w:sz w:val="16"/>
                <w:szCs w:val="16"/>
                <w:color w:val="auto"/>
              </w:rPr>
            </w:pPr>
          </w:p>
        </w:tc>
      </w:tr>
      <w:tr>
        <w:trPr>
          <w:trHeight w:val="188"/>
        </w:trPr>
        <w:tc>
          <w:tcPr>
            <w:tcW w:w="740" w:type="dxa"/>
            <w:vAlign w:val="bottom"/>
          </w:tcPr>
          <w:p>
            <w:pPr>
              <w:spacing w:after="0"/>
              <w:rPr>
                <w:sz w:val="20"/>
                <w:szCs w:val="20"/>
                <w:color w:val="auto"/>
              </w:rPr>
            </w:pPr>
            <w:r>
              <w:rPr>
                <w:rFonts w:ascii="Courier New" w:cs="Courier New" w:eastAsia="Courier New" w:hAnsi="Courier New"/>
                <w:sz w:val="16"/>
                <w:szCs w:val="16"/>
                <w:color w:val="auto"/>
              </w:rPr>
              <w:t>Berlin,</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Connecticut</w:t>
            </w:r>
          </w:p>
        </w:tc>
        <w:tc>
          <w:tcPr>
            <w:tcW w:w="162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06037</w:t>
            </w:r>
          </w:p>
        </w:tc>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Berlin, Connecticut</w:t>
            </w:r>
          </w:p>
        </w:tc>
        <w:tc>
          <w:tcPr>
            <w:tcW w:w="1820" w:type="dxa"/>
            <w:vAlign w:val="bottom"/>
          </w:tcPr>
          <w:p>
            <w:pPr>
              <w:ind w:left="60"/>
              <w:spacing w:after="0"/>
              <w:rPr>
                <w:sz w:val="20"/>
                <w:szCs w:val="20"/>
                <w:color w:val="auto"/>
              </w:rPr>
            </w:pPr>
            <w:r>
              <w:rPr>
                <w:rFonts w:ascii="Courier New" w:cs="Courier New" w:eastAsia="Courier New" w:hAnsi="Courier New"/>
                <w:sz w:val="16"/>
                <w:szCs w:val="16"/>
                <w:color w:val="auto"/>
              </w:rPr>
              <w:t>06037</w:t>
            </w:r>
          </w:p>
        </w:tc>
      </w:tr>
    </w:tbl>
    <w:p>
      <w:pPr>
        <w:spacing w:after="0" w:line="192"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C. Duane Blinn, Esq.</w:t>
      </w:r>
    </w:p>
    <w:p>
      <w:pPr>
        <w:spacing w:after="0" w:line="7"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Day, Berry &amp; Howard</w:t>
      </w:r>
    </w:p>
    <w:p>
      <w:pPr>
        <w:spacing w:after="0" w:line="7"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CityPlace</w:t>
      </w:r>
    </w:p>
    <w:p>
      <w:pPr>
        <w:spacing w:after="0" w:line="7"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Hartford, Connecticut 06103-3499</w:t>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The application/declaration in this proceeding, as previously amended</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"Application"), is hereby amended as follows:</w:t>
      </w:r>
    </w:p>
    <w:p>
      <w:pPr>
        <w:spacing w:after="0" w:line="200" w:lineRule="exact"/>
        <w:rPr>
          <w:sz w:val="24"/>
          <w:szCs w:val="24"/>
          <w:color w:val="auto"/>
        </w:rPr>
      </w:pPr>
    </w:p>
    <w:p>
      <w:pPr>
        <w:spacing w:after="0" w:line="371" w:lineRule="exact"/>
        <w:rPr>
          <w:sz w:val="24"/>
          <w:szCs w:val="24"/>
          <w:color w:val="auto"/>
        </w:rPr>
      </w:pPr>
    </w:p>
    <w:p>
      <w:pPr>
        <w:ind w:right="3759" w:firstLine="489"/>
        <w:spacing w:after="0" w:line="500" w:lineRule="auto"/>
        <w:tabs>
          <w:tab w:leader="none" w:pos="97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added at the end of paragraph 36 of the Application:</w:t>
      </w:r>
    </w:p>
    <w:p>
      <w:pPr>
        <w:spacing w:after="0" w:line="373"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The NHPUC authorized PSNH to incur as much as $220,500,000 in</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short-term borrowings in an order dated July 31, 1984, and the</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NHPUC confirmed that short-term borrowing authorization in orders</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dated May 6, 1987 and May 28, 1987.</w:t>
      </w:r>
    </w:p>
    <w:p>
      <w:pPr>
        <w:sectPr>
          <w:pgSz w:w="11900" w:h="16838" w:orient="portrait"/>
          <w:cols w:equalWidth="0" w:num="1">
            <w:col w:w="10219"/>
          </w:cols>
          <w:pgMar w:left="240" w:top="618" w:right="1440" w:bottom="275" w:gutter="0" w:footer="0" w:header="0"/>
        </w:sectPr>
      </w:pPr>
    </w:p>
    <w:bookmarkStart w:id="1" w:name="page2"/>
    <w:bookmarkEnd w:id="1"/>
    <w:p>
      <w:pPr>
        <w:ind w:left="-489" w:right="2979" w:firstLine="489"/>
        <w:spacing w:after="0" w:line="500" w:lineRule="auto"/>
        <w:tabs>
          <w:tab w:leader="none" w:pos="48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added in the appropriate place in Item 6 of the Application:</w:t>
      </w:r>
    </w:p>
    <w:p>
      <w:pPr>
        <w:spacing w:after="0" w:line="373" w:lineRule="exact"/>
        <w:rPr>
          <w:sz w:val="20"/>
          <w:szCs w:val="20"/>
          <w:color w:val="auto"/>
        </w:rPr>
      </w:pPr>
    </w:p>
    <w:p>
      <w:pPr>
        <w:ind w:left="491" w:right="2879" w:hanging="499"/>
        <w:spacing w:after="0" w:line="250" w:lineRule="auto"/>
        <w:tabs>
          <w:tab w:leader="none" w:pos="471" w:val="left"/>
        </w:tabs>
        <w:rPr>
          <w:sz w:val="20"/>
          <w:szCs w:val="20"/>
          <w:color w:val="auto"/>
        </w:rPr>
      </w:pPr>
      <w:r>
        <w:rPr>
          <w:rFonts w:ascii="Courier New" w:cs="Courier New" w:eastAsia="Courier New" w:hAnsi="Courier New"/>
          <w:sz w:val="16"/>
          <w:szCs w:val="16"/>
          <w:color w:val="auto"/>
        </w:rPr>
        <w:t>D.9</w:t>
        <w:tab/>
        <w:t>Order of the New Hampshire Public Utilities Commission dated July 31, 1984 authorizing PSNH to incur as much as $220,500,000 in short-term borrowings.</w:t>
      </w:r>
    </w:p>
    <w:p>
      <w:pPr>
        <w:spacing w:after="0" w:line="185" w:lineRule="exact"/>
        <w:rPr>
          <w:sz w:val="20"/>
          <w:szCs w:val="20"/>
          <w:color w:val="auto"/>
        </w:rPr>
      </w:pPr>
    </w:p>
    <w:p>
      <w:pPr>
        <w:ind w:left="491" w:right="2699" w:hanging="499"/>
        <w:spacing w:after="0" w:line="250" w:lineRule="auto"/>
        <w:tabs>
          <w:tab w:leader="none" w:pos="471" w:val="left"/>
        </w:tabs>
        <w:rPr>
          <w:sz w:val="20"/>
          <w:szCs w:val="20"/>
          <w:color w:val="auto"/>
        </w:rPr>
      </w:pPr>
      <w:r>
        <w:rPr>
          <w:rFonts w:ascii="Courier New" w:cs="Courier New" w:eastAsia="Courier New" w:hAnsi="Courier New"/>
          <w:sz w:val="16"/>
          <w:szCs w:val="16"/>
          <w:color w:val="auto"/>
        </w:rPr>
        <w:t>D.10</w:t>
        <w:tab/>
        <w:t>Order of the New Hampshire Public Utilities Commission dated May 6, 1987 confirming authorization of PSNH to incur as much as $220,500,000 in short-term borrowings.</w:t>
      </w:r>
    </w:p>
    <w:p>
      <w:pPr>
        <w:spacing w:after="0" w:line="185" w:lineRule="exact"/>
        <w:rPr>
          <w:sz w:val="20"/>
          <w:szCs w:val="20"/>
          <w:color w:val="auto"/>
        </w:rPr>
      </w:pPr>
    </w:p>
    <w:p>
      <w:pPr>
        <w:ind w:left="491" w:right="2979" w:hanging="499"/>
        <w:spacing w:after="0" w:line="250" w:lineRule="auto"/>
        <w:tabs>
          <w:tab w:leader="none" w:pos="471" w:val="left"/>
        </w:tabs>
        <w:rPr>
          <w:sz w:val="20"/>
          <w:szCs w:val="20"/>
          <w:color w:val="auto"/>
        </w:rPr>
      </w:pPr>
      <w:r>
        <w:rPr>
          <w:rFonts w:ascii="Courier New" w:cs="Courier New" w:eastAsia="Courier New" w:hAnsi="Courier New"/>
          <w:sz w:val="16"/>
          <w:szCs w:val="16"/>
          <w:color w:val="auto"/>
        </w:rPr>
        <w:t>D.11</w:t>
        <w:tab/>
        <w:t>Order of the New Hampshire Public Utilities Commission dated May 28, 1987 confirming authorization of PSNH to incur as much as $220,500,000 in short-term borrowings.</w:t>
      </w:r>
    </w:p>
    <w:p>
      <w:pPr>
        <w:spacing w:after="0" w:line="200" w:lineRule="exact"/>
        <w:rPr>
          <w:sz w:val="20"/>
          <w:szCs w:val="20"/>
          <w:color w:val="auto"/>
        </w:rPr>
      </w:pPr>
    </w:p>
    <w:p>
      <w:pPr>
        <w:spacing w:after="0" w:line="361" w:lineRule="exact"/>
        <w:rPr>
          <w:sz w:val="20"/>
          <w:szCs w:val="20"/>
          <w:color w:val="auto"/>
        </w:rPr>
      </w:pPr>
    </w:p>
    <w:p>
      <w:pPr>
        <w:ind w:left="-489" w:right="2699" w:firstLine="489"/>
        <w:spacing w:after="0" w:line="499" w:lineRule="auto"/>
        <w:tabs>
          <w:tab w:leader="none" w:pos="48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data schedules for Northeast Utilities (Parent) and Northeast Utilities and Subsidiaries included in Exhibit G to the Application are deleted and replaced with Exhibit G.1 filed herewith.</w:t>
      </w:r>
    </w:p>
    <w:p>
      <w:pPr>
        <w:spacing w:after="0" w:line="373" w:lineRule="exact"/>
        <w:rPr>
          <w:rFonts w:ascii="Courier New" w:cs="Courier New" w:eastAsia="Courier New" w:hAnsi="Courier New"/>
          <w:sz w:val="16"/>
          <w:szCs w:val="16"/>
          <w:color w:val="auto"/>
        </w:rPr>
      </w:pPr>
    </w:p>
    <w:p>
      <w:pPr>
        <w:ind w:left="-489" w:right="2799" w:firstLine="489"/>
        <w:spacing w:after="0" w:line="500" w:lineRule="auto"/>
        <w:tabs>
          <w:tab w:leader="none" w:pos="48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fiscal year end stated in Exhibit G for each of the Applicants is changed to December 31, 1994.</w:t>
      </w:r>
    </w:p>
    <w:p>
      <w:pPr>
        <w:sectPr>
          <w:pgSz w:w="11900" w:h="16838" w:orient="portrait"/>
          <w:cols w:equalWidth="0" w:num="1">
            <w:col w:w="9730"/>
          </w:cols>
          <w:pgMar w:left="729" w:top="142" w:right="1440" w:bottom="1440" w:gutter="0" w:footer="0" w:header="0"/>
        </w:sectPr>
      </w:pPr>
    </w:p>
    <w:bookmarkStart w:id="2" w:name="page3"/>
    <w:bookmarkEnd w:id="2"/>
    <w:p>
      <w:pPr>
        <w:ind w:left="352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71" w:lineRule="exact"/>
        <w:rPr>
          <w:sz w:val="20"/>
          <w:szCs w:val="20"/>
          <w:color w:val="auto"/>
        </w:rPr>
      </w:pPr>
    </w:p>
    <w:p>
      <w:pPr>
        <w:ind w:left="-480" w:right="2799" w:firstLine="489"/>
        <w:spacing w:after="0" w:line="498" w:lineRule="auto"/>
        <w:tabs>
          <w:tab w:leader="none" w:pos="49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1.1 (Balance Sheet - Northeast Utilities (Parent)), 1.2 (Income Statement - Northeast Utilities (Parent)), 11.1 (Consolidated Balance Sheet - Northeast Utilities and Subsidiaries) and 11.2 (Consolidated Income Statement - Northeast Utilities and Subsidiaries) are deleted and replaced respectively with Financial Statements 1.1.1, 1.2.1, 11.1.1 and 11.2.1, each of which is filed herewith.</w:t>
      </w:r>
    </w:p>
    <w:p>
      <w:pPr>
        <w:spacing w:after="0" w:line="374" w:lineRule="exact"/>
        <w:rPr>
          <w:rFonts w:ascii="Courier New" w:cs="Courier New" w:eastAsia="Courier New" w:hAnsi="Courier New"/>
          <w:sz w:val="16"/>
          <w:szCs w:val="16"/>
          <w:color w:val="auto"/>
        </w:rPr>
      </w:pPr>
    </w:p>
    <w:p>
      <w:pPr>
        <w:ind w:left="500" w:hanging="491"/>
        <w:spacing w:after="0"/>
        <w:tabs>
          <w:tab w:leader="none" w:pos="5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exhibits are filed herewith:</w:t>
      </w:r>
    </w:p>
    <w:p>
      <w:pPr>
        <w:spacing w:after="0" w:line="200" w:lineRule="exact"/>
        <w:rPr>
          <w:sz w:val="20"/>
          <w:szCs w:val="20"/>
          <w:color w:val="auto"/>
        </w:rPr>
      </w:pPr>
    </w:p>
    <w:p>
      <w:pPr>
        <w:spacing w:after="0" w:line="371" w:lineRule="exact"/>
        <w:rPr>
          <w:sz w:val="20"/>
          <w:szCs w:val="20"/>
          <w:color w:val="auto"/>
        </w:rPr>
      </w:pPr>
    </w:p>
    <w:p>
      <w:pPr>
        <w:ind w:left="500" w:right="2879" w:hanging="499"/>
        <w:spacing w:after="0" w:line="250" w:lineRule="auto"/>
        <w:tabs>
          <w:tab w:leader="none" w:pos="480" w:val="left"/>
        </w:tabs>
        <w:rPr>
          <w:sz w:val="20"/>
          <w:szCs w:val="20"/>
          <w:color w:val="auto"/>
        </w:rPr>
      </w:pPr>
      <w:r>
        <w:rPr>
          <w:rFonts w:ascii="Courier New" w:cs="Courier New" w:eastAsia="Courier New" w:hAnsi="Courier New"/>
          <w:sz w:val="16"/>
          <w:szCs w:val="16"/>
          <w:color w:val="auto"/>
        </w:rPr>
        <w:t>D.9</w:t>
        <w:tab/>
        <w:t>Order of the New Hampshire Public Utilities Commission dated July 31, 1984 authorizing PSNH to incur as much as $220,500,000 in short-term borrowings.</w:t>
      </w:r>
    </w:p>
    <w:p>
      <w:pPr>
        <w:spacing w:after="0" w:line="185" w:lineRule="exact"/>
        <w:rPr>
          <w:sz w:val="20"/>
          <w:szCs w:val="20"/>
          <w:color w:val="auto"/>
        </w:rPr>
      </w:pPr>
    </w:p>
    <w:p>
      <w:pPr>
        <w:ind w:left="500" w:right="2699" w:hanging="499"/>
        <w:spacing w:after="0" w:line="250" w:lineRule="auto"/>
        <w:tabs>
          <w:tab w:leader="none" w:pos="480" w:val="left"/>
        </w:tabs>
        <w:rPr>
          <w:sz w:val="20"/>
          <w:szCs w:val="20"/>
          <w:color w:val="auto"/>
        </w:rPr>
      </w:pPr>
      <w:r>
        <w:rPr>
          <w:rFonts w:ascii="Courier New" w:cs="Courier New" w:eastAsia="Courier New" w:hAnsi="Courier New"/>
          <w:sz w:val="16"/>
          <w:szCs w:val="16"/>
          <w:color w:val="auto"/>
        </w:rPr>
        <w:t>D.10</w:t>
        <w:tab/>
        <w:t>Order of the New Hampshire Public Utilities Commission dated May 6, 1987 confirming authorization of PSNH to incur as much as $220,500,000 in short-term borrowings.</w:t>
      </w:r>
    </w:p>
    <w:p>
      <w:pPr>
        <w:spacing w:after="0" w:line="185" w:lineRule="exact"/>
        <w:rPr>
          <w:sz w:val="20"/>
          <w:szCs w:val="20"/>
          <w:color w:val="auto"/>
        </w:rPr>
      </w:pPr>
    </w:p>
    <w:p>
      <w:pPr>
        <w:ind w:left="500" w:right="2979" w:hanging="499"/>
        <w:spacing w:after="0" w:line="250" w:lineRule="auto"/>
        <w:tabs>
          <w:tab w:leader="none" w:pos="480" w:val="left"/>
        </w:tabs>
        <w:rPr>
          <w:sz w:val="20"/>
          <w:szCs w:val="20"/>
          <w:color w:val="auto"/>
        </w:rPr>
      </w:pPr>
      <w:r>
        <w:rPr>
          <w:rFonts w:ascii="Courier New" w:cs="Courier New" w:eastAsia="Courier New" w:hAnsi="Courier New"/>
          <w:sz w:val="16"/>
          <w:szCs w:val="16"/>
          <w:color w:val="auto"/>
        </w:rPr>
        <w:t>D.11</w:t>
        <w:tab/>
        <w:t>Order of the New Hampshire Public Utilities Commission dated May 28, 1987 confirming authorization of PSNH to incur as much as $220,500,000 in short-term borrowings.</w:t>
      </w:r>
    </w:p>
    <w:p>
      <w:pPr>
        <w:spacing w:after="0" w:line="185" w:lineRule="exact"/>
        <w:rPr>
          <w:sz w:val="20"/>
          <w:szCs w:val="20"/>
          <w:color w:val="auto"/>
        </w:rPr>
      </w:pPr>
    </w:p>
    <w:p>
      <w:pPr>
        <w:ind w:left="500" w:hanging="491"/>
        <w:spacing w:after="0"/>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w:t>
      </w:r>
    </w:p>
    <w:p>
      <w:pPr>
        <w:spacing w:after="0" w:line="195" w:lineRule="exact"/>
        <w:rPr>
          <w:sz w:val="20"/>
          <w:szCs w:val="20"/>
          <w:color w:val="auto"/>
        </w:rPr>
      </w:pPr>
    </w:p>
    <w:p>
      <w:pPr>
        <w:ind w:left="500" w:right="3279" w:hanging="499"/>
        <w:spacing w:after="0" w:line="252" w:lineRule="auto"/>
        <w:tabs>
          <w:tab w:leader="none" w:pos="480" w:val="left"/>
        </w:tabs>
        <w:rPr>
          <w:sz w:val="20"/>
          <w:szCs w:val="20"/>
          <w:color w:val="auto"/>
        </w:rPr>
      </w:pPr>
      <w:r>
        <w:rPr>
          <w:rFonts w:ascii="Courier New" w:cs="Courier New" w:eastAsia="Courier New" w:hAnsi="Courier New"/>
          <w:sz w:val="16"/>
          <w:szCs w:val="16"/>
          <w:color w:val="auto"/>
        </w:rPr>
        <w:t>G.1</w:t>
        <w:tab/>
        <w:t>Financial Data Schedules for Northeast Utilities (Parent) and Northeast Utilities and Subsidiaries</w:t>
      </w:r>
    </w:p>
    <w:p>
      <w:pPr>
        <w:spacing w:after="0" w:line="183" w:lineRule="exact"/>
        <w:rPr>
          <w:sz w:val="20"/>
          <w:szCs w:val="20"/>
          <w:color w:val="auto"/>
        </w:rPr>
      </w:pPr>
    </w:p>
    <w:p>
      <w:pPr>
        <w:ind w:left="500" w:hanging="491"/>
        <w:spacing w:after="0"/>
        <w:tabs>
          <w:tab w:leader="none" w:pos="5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of Fees, Commissions and Expenses</w:t>
      </w:r>
    </w:p>
    <w:p>
      <w:pPr>
        <w:spacing w:after="0" w:line="200" w:lineRule="exact"/>
        <w:rPr>
          <w:sz w:val="20"/>
          <w:szCs w:val="20"/>
          <w:color w:val="auto"/>
        </w:rPr>
      </w:pPr>
    </w:p>
    <w:p>
      <w:pPr>
        <w:spacing w:after="0" w:line="371" w:lineRule="exact"/>
        <w:rPr>
          <w:sz w:val="20"/>
          <w:szCs w:val="20"/>
          <w:color w:val="auto"/>
        </w:rPr>
      </w:pPr>
    </w:p>
    <w:p>
      <w:pPr>
        <w:ind w:left="500" w:hanging="491"/>
        <w:spacing w:after="0"/>
        <w:tabs>
          <w:tab w:leader="none" w:pos="5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financial statements are filed herewith:</w:t>
      </w:r>
    </w:p>
    <w:p>
      <w:pPr>
        <w:spacing w:after="0" w:line="200" w:lineRule="exact"/>
        <w:rPr>
          <w:sz w:val="20"/>
          <w:szCs w:val="20"/>
          <w:color w:val="auto"/>
        </w:rPr>
      </w:pPr>
    </w:p>
    <w:p>
      <w:pPr>
        <w:spacing w:after="0" w:line="371" w:lineRule="exact"/>
        <w:rPr>
          <w:sz w:val="20"/>
          <w:szCs w:val="20"/>
          <w:color w:val="auto"/>
        </w:rPr>
      </w:pPr>
    </w:p>
    <w:p>
      <w:pPr>
        <w:ind w:left="500" w:hanging="491"/>
        <w:spacing w:after="0"/>
        <w:tabs>
          <w:tab w:leader="none" w:pos="5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Northeast Utilities (parent company only)</w:t>
      </w:r>
    </w:p>
    <w:p>
      <w:pPr>
        <w:spacing w:after="0" w:line="194" w:lineRule="exact"/>
        <w:rPr>
          <w:rFonts w:ascii="Courier New" w:cs="Courier New" w:eastAsia="Courier New" w:hAnsi="Courier New"/>
          <w:sz w:val="16"/>
          <w:szCs w:val="16"/>
          <w:color w:val="auto"/>
        </w:rPr>
      </w:pPr>
    </w:p>
    <w:p>
      <w:pPr>
        <w:ind w:left="1480" w:right="2979" w:hanging="977"/>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1.1.1Balance Sheet, per books and pro forma, as of June 30, 1994.</w:t>
      </w:r>
    </w:p>
    <w:p>
      <w:pPr>
        <w:spacing w:after="0" w:line="183" w:lineRule="exact"/>
        <w:rPr>
          <w:rFonts w:ascii="Courier New" w:cs="Courier New" w:eastAsia="Courier New" w:hAnsi="Courier New"/>
          <w:sz w:val="16"/>
          <w:szCs w:val="16"/>
          <w:color w:val="auto"/>
        </w:rPr>
      </w:pPr>
    </w:p>
    <w:p>
      <w:pPr>
        <w:ind w:left="1480" w:right="3079" w:hanging="977"/>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1.2.1Statement of Income, per books and pro forma, for 12 months ended June 30, 1994 and capital structure, per books and pro forma, as of June 30, 1994.</w:t>
      </w:r>
    </w:p>
    <w:p>
      <w:pPr>
        <w:spacing w:after="0" w:line="373"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11.</w:t>
        <w:tab/>
        <w:t>Northeast Utilities and Subsidiaries (consolidated)</w:t>
      </w:r>
    </w:p>
    <w:p>
      <w:pPr>
        <w:sectPr>
          <w:pgSz w:w="11900" w:h="16838" w:orient="portrait"/>
          <w:cols w:equalWidth="0" w:num="1">
            <w:col w:w="9739"/>
          </w:cols>
          <w:pgMar w:left="720" w:top="492" w:right="1440" w:bottom="1440" w:gutter="0" w:footer="0" w:header="0"/>
        </w:sectPr>
      </w:pPr>
    </w:p>
    <w:bookmarkStart w:id="3" w:name="page4"/>
    <w:bookmarkEnd w:id="3"/>
    <w:p>
      <w:pPr>
        <w:ind w:left="280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71" w:lineRule="exact"/>
        <w:rPr>
          <w:sz w:val="20"/>
          <w:szCs w:val="20"/>
          <w:color w:val="auto"/>
        </w:rPr>
      </w:pPr>
    </w:p>
    <w:p>
      <w:pPr>
        <w:ind w:left="760" w:right="2879" w:hanging="976"/>
        <w:spacing w:after="0" w:line="252" w:lineRule="auto"/>
        <w:tabs>
          <w:tab w:leader="none" w:pos="740" w:val="left"/>
        </w:tabs>
        <w:rPr>
          <w:sz w:val="20"/>
          <w:szCs w:val="20"/>
          <w:color w:val="auto"/>
        </w:rPr>
      </w:pPr>
      <w:r>
        <w:rPr>
          <w:rFonts w:ascii="Courier New" w:cs="Courier New" w:eastAsia="Courier New" w:hAnsi="Courier New"/>
          <w:sz w:val="16"/>
          <w:szCs w:val="16"/>
          <w:color w:val="auto"/>
        </w:rPr>
        <w:t>11.1.1</w:t>
      </w:r>
      <w:r>
        <w:rPr>
          <w:sz w:val="20"/>
          <w:szCs w:val="20"/>
          <w:color w:val="auto"/>
        </w:rPr>
        <w:tab/>
      </w:r>
      <w:r>
        <w:rPr>
          <w:rFonts w:ascii="Courier New" w:cs="Courier New" w:eastAsia="Courier New" w:hAnsi="Courier New"/>
          <w:sz w:val="16"/>
          <w:szCs w:val="16"/>
          <w:color w:val="auto"/>
        </w:rPr>
        <w:t>Consolidated Balance Sheet, per books and pro forma, as of June 30, 1994.</w:t>
      </w:r>
    </w:p>
    <w:p>
      <w:pPr>
        <w:spacing w:after="0" w:line="183" w:lineRule="exact"/>
        <w:rPr>
          <w:sz w:val="20"/>
          <w:szCs w:val="20"/>
          <w:color w:val="auto"/>
        </w:rPr>
      </w:pPr>
    </w:p>
    <w:p>
      <w:pPr>
        <w:ind w:left="760" w:right="2799" w:hanging="976"/>
        <w:spacing w:after="0" w:line="250" w:lineRule="auto"/>
        <w:tabs>
          <w:tab w:leader="none" w:pos="740" w:val="left"/>
        </w:tabs>
        <w:rPr>
          <w:sz w:val="20"/>
          <w:szCs w:val="20"/>
          <w:color w:val="auto"/>
        </w:rPr>
      </w:pPr>
      <w:r>
        <w:rPr>
          <w:rFonts w:ascii="Courier New" w:cs="Courier New" w:eastAsia="Courier New" w:hAnsi="Courier New"/>
          <w:sz w:val="16"/>
          <w:szCs w:val="16"/>
          <w:color w:val="auto"/>
        </w:rPr>
        <w:t>11.2.1</w:t>
      </w:r>
      <w:r>
        <w:rPr>
          <w:sz w:val="20"/>
          <w:szCs w:val="20"/>
          <w:color w:val="auto"/>
        </w:rPr>
        <w:tab/>
      </w:r>
      <w:r>
        <w:rPr>
          <w:rFonts w:ascii="Courier New" w:cs="Courier New" w:eastAsia="Courier New" w:hAnsi="Courier New"/>
          <w:sz w:val="16"/>
          <w:szCs w:val="16"/>
          <w:color w:val="auto"/>
        </w:rPr>
        <w:t>Consolidated Statement of Income, per books and pro forma, for 12 months ended June 30, 1994 and capital structure, per books and pro forma, as of June 30, 1994.</w:t>
      </w:r>
    </w:p>
    <w:p>
      <w:pPr>
        <w:sectPr>
          <w:pgSz w:w="11900" w:h="16838" w:orient="portrait"/>
          <w:cols w:equalWidth="0" w:num="1">
            <w:col w:w="9019"/>
          </w:cols>
          <w:pgMar w:left="1440" w:top="492" w:right="1440" w:bottom="1440" w:gutter="0" w:footer="0" w:header="0"/>
        </w:sectPr>
      </w:pPr>
    </w:p>
    <w:bookmarkStart w:id="4" w:name="page5"/>
    <w:bookmarkEnd w:id="4"/>
    <w:p>
      <w:pPr>
        <w:ind w:left="400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7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37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Pursuant to the requirements of the Public Utility Holding Company Act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1935, as amended, the undersigned applicants have duly caused this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to be signed on their behalf by the undersigned hereunto duly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w:t>
      </w:r>
    </w:p>
    <w:p>
      <w:pPr>
        <w:spacing w:after="0" w:line="200" w:lineRule="exact"/>
        <w:rPr>
          <w:sz w:val="20"/>
          <w:szCs w:val="20"/>
          <w:color w:val="auto"/>
        </w:rPr>
      </w:pPr>
    </w:p>
    <w:p>
      <w:pPr>
        <w:spacing w:after="0" w:line="371" w:lineRule="exact"/>
        <w:rPr>
          <w:sz w:val="20"/>
          <w:szCs w:val="20"/>
          <w:color w:val="auto"/>
        </w:rPr>
      </w:pPr>
    </w:p>
    <w:p>
      <w:pPr>
        <w:ind w:left="480"/>
        <w:spacing w:after="0"/>
        <w:tabs>
          <w:tab w:leader="none" w:pos="1260" w:val="left"/>
        </w:tabs>
        <w:rPr>
          <w:sz w:val="20"/>
          <w:szCs w:val="20"/>
          <w:color w:val="auto"/>
        </w:rPr>
      </w:pPr>
      <w:r>
        <w:rPr>
          <w:rFonts w:ascii="Courier New" w:cs="Courier New" w:eastAsia="Courier New" w:hAnsi="Courier New"/>
          <w:sz w:val="16"/>
          <w:szCs w:val="16"/>
          <w:color w:val="auto"/>
        </w:rPr>
        <w:t>Dated:</w:t>
        <w:tab/>
        <w:t>December 8, 1994</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Northeast Utilities</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The Connecticut Light and Power Company</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Western Massachusetts Electric Company</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Public Service Company of New Hampshire</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Holyoke Water Power Company</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Northeast Nuclear Energy Company</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The Quinnehtuk Company</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North Atlantic Energy Corporation</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The Rocky River Realty Company</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HEC Inc.</w:t>
      </w:r>
    </w:p>
    <w:p>
      <w:pPr>
        <w:spacing w:after="0" w:line="195" w:lineRule="exact"/>
        <w:rPr>
          <w:sz w:val="20"/>
          <w:szCs w:val="20"/>
          <w:color w:val="auto"/>
        </w:rPr>
      </w:pPr>
    </w:p>
    <w:p>
      <w:pPr>
        <w:ind w:left="2440"/>
        <w:spacing w:after="0"/>
        <w:tabs>
          <w:tab w:leader="none" w:pos="2920" w:val="left"/>
        </w:tabs>
        <w:rPr>
          <w:sz w:val="20"/>
          <w:szCs w:val="20"/>
          <w:color w:val="auto"/>
        </w:rPr>
      </w:pPr>
      <w:r>
        <w:rPr>
          <w:rFonts w:ascii="Courier New" w:cs="Courier New" w:eastAsia="Courier New" w:hAnsi="Courier New"/>
          <w:sz w:val="16"/>
          <w:szCs w:val="16"/>
          <w:color w:val="auto"/>
        </w:rPr>
        <w:t>By:</w:t>
        <w:tab/>
        <w:t>DAY, BERRY &amp; HOWARD</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CityPlace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Hartford, Connecticut 06103-3499</w:t>
      </w:r>
    </w:p>
    <w:p>
      <w:pPr>
        <w:spacing w:after="0" w:line="19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Their Attorneys</w:t>
      </w:r>
    </w:p>
    <w:p>
      <w:pPr>
        <w:spacing w:after="0" w:line="383" w:lineRule="exact"/>
        <w:rPr>
          <w:sz w:val="20"/>
          <w:szCs w:val="20"/>
          <w:color w:val="auto"/>
        </w:rPr>
      </w:pPr>
    </w:p>
    <w:p>
      <w:pPr>
        <w:ind w:left="2440"/>
        <w:spacing w:after="0"/>
        <w:tabs>
          <w:tab w:leader="none" w:pos="50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/s/C. Duane Blinn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C. Duane Blinn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A Partner</w:t>
      </w:r>
    </w:p>
    <w:p>
      <w:pPr>
        <w:sectPr>
          <w:pgSz w:w="11900" w:h="16838" w:orient="portrait"/>
          <w:cols w:equalWidth="0" w:num="1">
            <w:col w:w="10219"/>
          </w:cols>
          <w:pgMar w:left="240" w:top="492" w:right="1440" w:bottom="1440" w:gutter="0" w:footer="0" w:header="0"/>
        </w:sectPr>
      </w:pPr>
    </w:p>
    <w:bookmarkStart w:id="5" w:name="page6"/>
    <w:bookmarkEnd w:id="5"/>
    <w:p>
      <w:pPr>
        <w:ind w:left="2940"/>
        <w:spacing w:after="0"/>
        <w:rPr>
          <w:sz w:val="20"/>
          <w:szCs w:val="20"/>
          <w:color w:val="auto"/>
        </w:rPr>
      </w:pPr>
      <w:r>
        <w:rPr>
          <w:rFonts w:ascii="Courier New" w:cs="Courier New" w:eastAsia="Courier New" w:hAnsi="Courier New"/>
          <w:sz w:val="16"/>
          <w:szCs w:val="16"/>
          <w:color w:val="auto"/>
        </w:rPr>
        <w:t>INDEX TO EXHIBITS</w:t>
      </w:r>
    </w:p>
    <w:p>
      <w:pPr>
        <w:spacing w:after="0" w:line="195" w:lineRule="exact"/>
        <w:rPr>
          <w:sz w:val="20"/>
          <w:szCs w:val="20"/>
          <w:color w:val="auto"/>
        </w:rPr>
      </w:pPr>
    </w:p>
    <w:p>
      <w:pPr>
        <w:ind w:left="480" w:hanging="480"/>
        <w:spacing w:after="0"/>
        <w:tabs>
          <w:tab w:leader="none" w:pos="4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4" w:lineRule="exact"/>
        <w:rPr>
          <w:rFonts w:ascii="Courier New" w:cs="Courier New" w:eastAsia="Courier New" w:hAnsi="Courier New"/>
          <w:sz w:val="16"/>
          <w:szCs w:val="16"/>
          <w:color w:val="auto"/>
        </w:rPr>
      </w:pPr>
    </w:p>
    <w:p>
      <w:pPr>
        <w:ind w:left="980" w:right="2879" w:hanging="48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D.9 Order of the New Hampshire Public Utilities Commission dated July 31, 1984 authorizing PSNH to incur as much as $220,500,000 in short-term borrowings.</w:t>
      </w:r>
    </w:p>
    <w:p>
      <w:pPr>
        <w:spacing w:after="0" w:line="185" w:lineRule="exact"/>
        <w:rPr>
          <w:rFonts w:ascii="Courier New" w:cs="Courier New" w:eastAsia="Courier New" w:hAnsi="Courier New"/>
          <w:sz w:val="16"/>
          <w:szCs w:val="16"/>
          <w:color w:val="auto"/>
        </w:rPr>
      </w:pPr>
    </w:p>
    <w:p>
      <w:pPr>
        <w:ind w:left="980" w:right="2699" w:hanging="48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D.10 Order of the New Hampshire Public Utilities Commission dated May 6, 1987 confirming authorization of PSNH to incur as much as $220,500,000 in short-term borrowings.</w:t>
      </w:r>
    </w:p>
    <w:p>
      <w:pPr>
        <w:spacing w:after="0" w:line="185" w:lineRule="exact"/>
        <w:rPr>
          <w:rFonts w:ascii="Courier New" w:cs="Courier New" w:eastAsia="Courier New" w:hAnsi="Courier New"/>
          <w:sz w:val="16"/>
          <w:szCs w:val="16"/>
          <w:color w:val="auto"/>
        </w:rPr>
      </w:pPr>
    </w:p>
    <w:p>
      <w:pPr>
        <w:ind w:left="980" w:right="2979" w:hanging="48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D.11 Order of the New Hampshire Public Utilities Commission dated May 28, 1987 confirming authorization of PSNH to incur as much as $220,500,000 in short-term borrowings.</w:t>
      </w:r>
    </w:p>
    <w:p>
      <w:pPr>
        <w:spacing w:after="0" w:line="185"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FOpinion of Counsel</w:t>
      </w:r>
    </w:p>
    <w:p>
      <w:pPr>
        <w:spacing w:after="0" w:line="194" w:lineRule="exact"/>
        <w:rPr>
          <w:rFonts w:ascii="Courier New" w:cs="Courier New" w:eastAsia="Courier New" w:hAnsi="Courier New"/>
          <w:sz w:val="16"/>
          <w:szCs w:val="16"/>
          <w:color w:val="auto"/>
        </w:rPr>
      </w:pPr>
    </w:p>
    <w:p>
      <w:pPr>
        <w:ind w:left="980" w:right="3279" w:hanging="48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G.1 Financial Data Schedules for Northeast Utilities (Parent) and Northeast Utilities and Subsidiaries</w:t>
      </w:r>
    </w:p>
    <w:p>
      <w:pPr>
        <w:spacing w:after="0" w:line="183"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KSchedule of Fees, Commissions and Expenses</w:t>
      </w:r>
    </w:p>
    <w:p>
      <w:pPr>
        <w:spacing w:after="0" w:line="194"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w:t>
      </w:r>
    </w:p>
    <w:p>
      <w:pPr>
        <w:spacing w:after="0" w:line="194" w:lineRule="exact"/>
        <w:rPr>
          <w:rFonts w:ascii="Courier New" w:cs="Courier New" w:eastAsia="Courier New" w:hAnsi="Courier New"/>
          <w:sz w:val="16"/>
          <w:szCs w:val="16"/>
          <w:color w:val="auto"/>
        </w:rPr>
      </w:pPr>
    </w:p>
    <w:p>
      <w:pPr>
        <w:ind w:left="980" w:hanging="491"/>
        <w:spacing w:after="0"/>
        <w:tabs>
          <w:tab w:leader="none" w:pos="9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Northeast Utilities (parent company only)</w:t>
      </w:r>
    </w:p>
    <w:p>
      <w:pPr>
        <w:spacing w:after="0" w:line="194" w:lineRule="exact"/>
        <w:rPr>
          <w:rFonts w:ascii="Courier New" w:cs="Courier New" w:eastAsia="Courier New" w:hAnsi="Courier New"/>
          <w:sz w:val="16"/>
          <w:szCs w:val="16"/>
          <w:color w:val="auto"/>
        </w:rPr>
      </w:pPr>
    </w:p>
    <w:p>
      <w:pPr>
        <w:ind w:left="1960" w:right="2979" w:hanging="977"/>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1.1.1Balance Sheet, per books and pro forma, as of June 30, 1994.</w:t>
      </w:r>
    </w:p>
    <w:p>
      <w:pPr>
        <w:spacing w:after="0" w:line="183" w:lineRule="exact"/>
        <w:rPr>
          <w:rFonts w:ascii="Courier New" w:cs="Courier New" w:eastAsia="Courier New" w:hAnsi="Courier New"/>
          <w:sz w:val="16"/>
          <w:szCs w:val="16"/>
          <w:color w:val="auto"/>
        </w:rPr>
      </w:pPr>
    </w:p>
    <w:p>
      <w:pPr>
        <w:ind w:left="1960" w:right="3079" w:hanging="977"/>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1.2.1Statement of Income, per books and pro forma, for 12 months ended June 30, 1994 and capital structure, per books and pro forma, as of June 30, 1994.</w:t>
      </w:r>
    </w:p>
    <w:p>
      <w:pPr>
        <w:spacing w:after="0" w:line="185" w:lineRule="exact"/>
        <w:rPr>
          <w:sz w:val="20"/>
          <w:szCs w:val="20"/>
          <w:color w:val="auto"/>
        </w:rPr>
      </w:pPr>
    </w:p>
    <w:p>
      <w:pPr>
        <w:ind w:left="980" w:hanging="491"/>
        <w:spacing w:after="0"/>
        <w:tabs>
          <w:tab w:leader="none" w:pos="9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Northeast Utilities and Subsidiaries (consolidated)</w:t>
      </w:r>
    </w:p>
    <w:p>
      <w:pPr>
        <w:spacing w:after="0" w:line="194" w:lineRule="exact"/>
        <w:rPr>
          <w:rFonts w:ascii="Courier New" w:cs="Courier New" w:eastAsia="Courier New" w:hAnsi="Courier New"/>
          <w:sz w:val="16"/>
          <w:szCs w:val="16"/>
          <w:color w:val="auto"/>
        </w:rPr>
      </w:pPr>
    </w:p>
    <w:p>
      <w:pPr>
        <w:ind w:left="1960" w:right="2879" w:hanging="977"/>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11.1.1Consolidated Balance Sheet, per books and pro forma, as of June 30, 1994.</w:t>
      </w:r>
    </w:p>
    <w:p>
      <w:pPr>
        <w:spacing w:after="0" w:line="183" w:lineRule="exact"/>
        <w:rPr>
          <w:rFonts w:ascii="Courier New" w:cs="Courier New" w:eastAsia="Courier New" w:hAnsi="Courier New"/>
          <w:sz w:val="16"/>
          <w:szCs w:val="16"/>
          <w:color w:val="auto"/>
        </w:rPr>
      </w:pPr>
    </w:p>
    <w:p>
      <w:pPr>
        <w:ind w:left="1960" w:right="2799" w:hanging="977"/>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11.2.1Consolidated Statement of Income, per books and pro forma, for 12 months ended June 30, 1994 and capital structure, per books and pro forma, as of June 30, 1994.</w:t>
      </w:r>
    </w:p>
    <w:p>
      <w:pPr>
        <w:sectPr>
          <w:pgSz w:w="11900" w:h="16838" w:orient="portrait"/>
          <w:cols w:equalWidth="0" w:num="1">
            <w:col w:w="10219"/>
          </w:cols>
          <w:pgMar w:left="240" w:top="492" w:right="1440" w:bottom="1440" w:gutter="0" w:footer="0" w:header="0"/>
        </w:sectPr>
      </w:pPr>
    </w:p>
    <w:bookmarkStart w:id="6" w:name="page7"/>
    <w:bookmarkEnd w:id="6"/>
    <w:p>
      <w:pPr>
        <w:ind w:left="5380"/>
        <w:spacing w:after="0"/>
        <w:rPr>
          <w:sz w:val="20"/>
          <w:szCs w:val="20"/>
          <w:color w:val="auto"/>
        </w:rPr>
      </w:pPr>
      <w:r>
        <w:rPr>
          <w:rFonts w:ascii="Courier New" w:cs="Courier New" w:eastAsia="Courier New" w:hAnsi="Courier New"/>
          <w:sz w:val="16"/>
          <w:szCs w:val="16"/>
          <w:color w:val="auto"/>
        </w:rPr>
        <w:t>Exhibit D.9</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Re Public Service Company of New Hampshire</w:t>
      </w:r>
    </w:p>
    <w:p>
      <w:pPr>
        <w:spacing w:after="0" w:line="19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6"/>
          <w:szCs w:val="16"/>
          <w:color w:val="auto"/>
        </w:rPr>
        <w:t>Intervenors: Office of Consumer Advocate, Community Action Program, and Business and Industry Association of New Hampshire</w:t>
      </w:r>
    </w:p>
    <w:p>
      <w:pPr>
        <w:spacing w:after="0" w:line="183"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DF 84-168, Supplemental Order No. 17,139</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New Hampshire Public Utilities Commission</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July 31, 1984</w:t>
      </w:r>
    </w:p>
    <w:p>
      <w:pPr>
        <w:spacing w:after="0" w:line="383"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APPEARANCES: Frederick J. Coolbroth, Esquire and Sulloway, Hollis &amp; Soden by Martin L. Gross, Esquire for Public Service Company of New Hampshire; Michael W. Holmes, Esquire for the Consumer Advocate, Gerald M. Eaton, Esquire for the Community Action Program; James K. Hoeveler for the Business and Industry Association of New Hampshire; Larry M. Smukler, Esquire for the Staff of the Public Utilities Commission of New Hampshire.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the Commission:</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REPORT</w:t>
      </w:r>
    </w:p>
    <w:p>
      <w:pPr>
        <w:spacing w:after="0" w:line="19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On June 29, 1984, Public Service Company of New Hampshire ('PSNH' or 'Company') filed a Petition for Necessary Authority to Enter Restructure Agreements with Certain Creditors ('Petition'). An Order of Notice was issued on July 2, 1984 which, inter alia, required the submission of prefiled testimony and exhibits no later than July 10, 1984 and set a hearing for July 25, 1984.</w:t>
      </w:r>
    </w:p>
    <w:p>
      <w:pPr>
        <w:spacing w:after="0" w:line="187" w:lineRule="exact"/>
        <w:rPr>
          <w:sz w:val="20"/>
          <w:szCs w:val="20"/>
          <w:color w:val="auto"/>
        </w:rPr>
      </w:pPr>
    </w:p>
    <w:p>
      <w:pPr>
        <w:ind w:right="2799" w:firstLine="489"/>
        <w:spacing w:after="0" w:line="248" w:lineRule="auto"/>
        <w:rPr>
          <w:sz w:val="20"/>
          <w:szCs w:val="20"/>
          <w:color w:val="auto"/>
        </w:rPr>
      </w:pPr>
      <w:r>
        <w:rPr>
          <w:rFonts w:ascii="Courier New" w:cs="Courier New" w:eastAsia="Courier New" w:hAnsi="Courier New"/>
          <w:sz w:val="16"/>
          <w:szCs w:val="16"/>
          <w:color w:val="auto"/>
        </w:rPr>
        <w:t>Pursuant to the terms of the Order of Notice, Motions to Intervene were filed by the Consumer Advocate, the Community Action Program ('CAP'), the Business and Industry Association of New Hampshire ('BIA') the Campaign for Ratepayers' Rights ('CRR'), the Seacoast Anti-Pollution League ('SAPL') and Chris Spirou. The Motions to Intervene of the Consumer Advocate, the</w:t>
      </w:r>
    </w:p>
    <w:p>
      <w:pPr>
        <w:spacing w:after="0" w:line="3"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6"/>
          <w:szCs w:val="16"/>
          <w:color w:val="auto"/>
        </w:rPr>
        <w:t>CAP and the BIA were granted. All other pending Motions to Intervene were denied. See Tr. at 23-25.</w:t>
      </w:r>
    </w:p>
    <w:p>
      <w:pPr>
        <w:spacing w:after="0" w:line="183" w:lineRule="exact"/>
        <w:rPr>
          <w:sz w:val="20"/>
          <w:szCs w:val="20"/>
          <w:color w:val="auto"/>
        </w:rPr>
      </w:pPr>
    </w:p>
    <w:p>
      <w:pPr>
        <w:jc w:val="both"/>
        <w:ind w:right="2879" w:firstLine="489"/>
        <w:spacing w:after="0" w:line="249" w:lineRule="auto"/>
        <w:rPr>
          <w:sz w:val="20"/>
          <w:szCs w:val="20"/>
          <w:color w:val="auto"/>
        </w:rPr>
      </w:pPr>
      <w:r>
        <w:rPr>
          <w:rFonts w:ascii="Courier New" w:cs="Courier New" w:eastAsia="Courier New" w:hAnsi="Courier New"/>
          <w:sz w:val="16"/>
          <w:szCs w:val="16"/>
          <w:color w:val="auto"/>
        </w:rPr>
        <w:t>Hearings on the Petition were held on July 25, 1984 and July 26, 1984. The Commission heard the testimony of two company witnesses and the public. In addition, nine exhibits were entered into evidence and certain responses to oral data requests have been filed and reviewed by the Staff.</w:t>
      </w:r>
    </w:p>
    <w:p>
      <w:pPr>
        <w:spacing w:after="0" w:line="188"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PSNH offered the testimony of two witnesses: Mr. Charles Bayless, the Company's Financial Vice President; and Mrs. Kathlyne Hadley. Mrs. Hadley provided technical testimony on certain calculations in the Company's financial runs. Mr. Bayless provided general testimony in support of the Company's Petition. PSNH is seeking the necessary regulatory authority to enter into certain restructured agreements with its creditors. The need to restructure these agreements arose from PSNH's inability to make certain payments when due as a result of its liquidity crisis of the Spring of 1984. In the face of impending defaults that could have lead to the bankruptcy of the Company, PSNH entered into negotiations with its creditors; negotiations which took place over an extended period of time. Those negotiations resulted in the restructured agreements which were the subject of this docket.</w:t>
      </w:r>
    </w:p>
    <w:p>
      <w:pPr>
        <w:spacing w:after="0" w:line="187"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According to Mr. Bayless, the Company's creditors imposed certain requirements on the Company in the course of the negotiations. Those requirements included a PSNH commitment to treat all creditors alike. Thus, all of the debt in the restructured agreements carries the same interest rate to a maturity date of May 31, 1985. That interest rate is 116% of the Bank of</w:t>
      </w:r>
    </w:p>
    <w:p>
      <w:pPr>
        <w:spacing w:after="0" w:line="35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pacing w:after="0" w:line="383"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Boston's base rate plus 25 basis points. In addition, the agreements are interrelated and interdependent to such an extent that a failure to execute one agreement for any reason (including the lack of the requisite regulatory approvals) will constitute a failure to meet the requirements of all of the remaining agreements. Accordingly, the Commission is being asked to view each agreement as one component of a package, as distinguished from a consideration which would allow each agreement to stand or fall on its own merits.</w:t>
      </w:r>
    </w:p>
    <w:p>
      <w:pPr>
        <w:spacing w:after="0" w:line="37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this context, the agreements that are a part of the package include:</w:t>
      </w:r>
    </w:p>
    <w:p>
      <w:pPr>
        <w:spacing w:after="0" w:line="195" w:lineRule="exact"/>
        <w:rPr>
          <w:sz w:val="20"/>
          <w:szCs w:val="20"/>
          <w:color w:val="auto"/>
        </w:rPr>
      </w:pPr>
    </w:p>
    <w:p>
      <w:pPr>
        <w:ind w:right="2799" w:firstLine="489"/>
        <w:spacing w:after="0" w:line="252" w:lineRule="auto"/>
        <w:tabs>
          <w:tab w:leader="none" w:pos="7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new revolving credit facility in the amount of $35,000,000 secured by the Company's accounts receivable (Exh. 1, Attachment 1);</w:t>
      </w:r>
    </w:p>
    <w:p>
      <w:pPr>
        <w:spacing w:after="0" w:line="183" w:lineRule="exact"/>
        <w:rPr>
          <w:rFonts w:ascii="Courier New" w:cs="Courier New" w:eastAsia="Courier New" w:hAnsi="Courier New"/>
          <w:sz w:val="16"/>
          <w:szCs w:val="16"/>
          <w:color w:val="auto"/>
        </w:rPr>
      </w:pPr>
    </w:p>
    <w:p>
      <w:pPr>
        <w:ind w:right="2699" w:firstLine="489"/>
        <w:spacing w:after="0" w:line="252" w:lineRule="auto"/>
        <w:tabs>
          <w:tab w:leader="none" w:pos="7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extension of the Company's $50,000,000 Eurodollar Term Loans (Exh. 1, Attachment 2);</w:t>
      </w:r>
    </w:p>
    <w:p>
      <w:pPr>
        <w:spacing w:after="0" w:line="183" w:lineRule="exact"/>
        <w:rPr>
          <w:rFonts w:ascii="Courier New" w:cs="Courier New" w:eastAsia="Courier New" w:hAnsi="Courier New"/>
          <w:sz w:val="16"/>
          <w:szCs w:val="16"/>
          <w:color w:val="auto"/>
        </w:rPr>
      </w:pPr>
    </w:p>
    <w:p>
      <w:pPr>
        <w:ind w:right="2979" w:firstLine="489"/>
        <w:spacing w:after="0" w:line="250" w:lineRule="auto"/>
        <w:tabs>
          <w:tab w:leader="none" w:pos="7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amendment to the Company's Nuclear Material Lease and Security Agreement ('Prulease') which provides additional security in the form of a pledge of certain PSNH General and Refunding bonds (Exh. 1, Attachment 3);</w:t>
      </w:r>
    </w:p>
    <w:p>
      <w:pPr>
        <w:sectPr>
          <w:pgSz w:w="11900" w:h="16838" w:orient="portrait"/>
          <w:cols w:equalWidth="0" w:num="1">
            <w:col w:w="10219"/>
          </w:cols>
          <w:pgMar w:left="240" w:top="518" w:right="1440" w:bottom="0" w:gutter="0" w:footer="0" w:header="0"/>
        </w:sectPr>
      </w:pPr>
    </w:p>
    <w:bookmarkStart w:id="7" w:name="page8"/>
    <w:bookmarkEnd w:id="7"/>
    <w:p>
      <w:pPr>
        <w:ind w:right="2879" w:firstLine="489"/>
        <w:spacing w:after="0" w:line="252" w:lineRule="auto"/>
        <w:tabs>
          <w:tab w:leader="none" w:pos="7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extension of the Company's $25,000,000 Domestic Term Loans (Exh. 1, Attachment 4);</w:t>
      </w:r>
    </w:p>
    <w:p>
      <w:pPr>
        <w:spacing w:after="0" w:line="183" w:lineRule="exact"/>
        <w:rPr>
          <w:rFonts w:ascii="Courier New" w:cs="Courier New" w:eastAsia="Courier New" w:hAnsi="Courier New"/>
          <w:sz w:val="16"/>
          <w:szCs w:val="16"/>
          <w:color w:val="auto"/>
        </w:rPr>
      </w:pPr>
    </w:p>
    <w:p>
      <w:pPr>
        <w:ind w:right="2879" w:firstLine="489"/>
        <w:spacing w:after="0" w:line="250" w:lineRule="auto"/>
        <w:tabs>
          <w:tab w:leader="none" w:pos="7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short term obligation to United Engineers and Constructors ('UE&amp;C '), the Company's Seabrook Architect and Engineer, in the amount of $20,485,254 (Exh. 1, Attachment 5); and</w:t>
      </w:r>
    </w:p>
    <w:p>
      <w:pPr>
        <w:spacing w:after="0" w:line="185" w:lineRule="exact"/>
        <w:rPr>
          <w:rFonts w:ascii="Courier New" w:cs="Courier New" w:eastAsia="Courier New" w:hAnsi="Courier New"/>
          <w:sz w:val="16"/>
          <w:szCs w:val="16"/>
          <w:color w:val="auto"/>
        </w:rPr>
      </w:pPr>
    </w:p>
    <w:p>
      <w:pPr>
        <w:ind w:right="2979" w:firstLine="489"/>
        <w:spacing w:after="0" w:line="249" w:lineRule="auto"/>
        <w:tabs>
          <w:tab w:leader="none" w:pos="7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lease of certain land underlaying the Company's coal pile at the Merrimack Station to Consolidation Coal Company ('Consolidation') so that Consolidation may retain meaningful title to the coal under a new coal purchase agreement.</w:t>
      </w:r>
    </w:p>
    <w:p>
      <w:pPr>
        <w:spacing w:after="0" w:line="188" w:lineRule="exact"/>
        <w:rPr>
          <w:sz w:val="20"/>
          <w:szCs w:val="20"/>
          <w:color w:val="auto"/>
        </w:rPr>
      </w:pPr>
    </w:p>
    <w:p>
      <w:pPr>
        <w:ind w:right="2699" w:firstLine="489"/>
        <w:spacing w:after="0" w:line="252" w:lineRule="auto"/>
        <w:rPr>
          <w:sz w:val="20"/>
          <w:szCs w:val="20"/>
          <w:color w:val="auto"/>
        </w:rPr>
      </w:pPr>
      <w:r>
        <w:rPr>
          <w:rFonts w:ascii="Courier New" w:cs="Courier New" w:eastAsia="Courier New" w:hAnsi="Courier New"/>
          <w:sz w:val="16"/>
          <w:szCs w:val="16"/>
          <w:color w:val="auto"/>
        </w:rPr>
        <w:t>Prior to the execution of the above described agreements, the Company must obtain certain approvals from this Commission. The approvals sought are:</w:t>
      </w:r>
    </w:p>
    <w:p>
      <w:pPr>
        <w:spacing w:after="0" w:line="183" w:lineRule="exact"/>
        <w:rPr>
          <w:sz w:val="20"/>
          <w:szCs w:val="20"/>
          <w:color w:val="auto"/>
        </w:rPr>
      </w:pPr>
    </w:p>
    <w:p>
      <w:pPr>
        <w:ind w:right="3179" w:firstLine="489"/>
        <w:spacing w:after="0" w:line="252" w:lineRule="auto"/>
        <w:tabs>
          <w:tab w:leader="none" w:pos="7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to increase the level of short term indebtedness to an amount outstanding at any one time not exceeding $220,500,000;</w:t>
      </w:r>
    </w:p>
    <w:p>
      <w:pPr>
        <w:spacing w:after="0" w:line="183" w:lineRule="exact"/>
        <w:rPr>
          <w:rFonts w:ascii="Courier New" w:cs="Courier New" w:eastAsia="Courier New" w:hAnsi="Courier New"/>
          <w:sz w:val="16"/>
          <w:szCs w:val="16"/>
          <w:color w:val="auto"/>
        </w:rPr>
      </w:pPr>
    </w:p>
    <w:p>
      <w:pPr>
        <w:ind w:right="2799" w:firstLine="489"/>
        <w:spacing w:after="0" w:line="252" w:lineRule="auto"/>
        <w:tabs>
          <w:tab w:leader="none" w:pos="7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to secure the revolving credit facility with the Company's accounts receivable;</w:t>
      </w:r>
    </w:p>
    <w:p>
      <w:pPr>
        <w:spacing w:after="0" w:line="183" w:lineRule="exact"/>
        <w:rPr>
          <w:rFonts w:ascii="Courier New" w:cs="Courier New" w:eastAsia="Courier New" w:hAnsi="Courier New"/>
          <w:sz w:val="16"/>
          <w:szCs w:val="16"/>
          <w:color w:val="auto"/>
        </w:rPr>
      </w:pPr>
    </w:p>
    <w:p>
      <w:pPr>
        <w:ind w:left="780" w:hanging="291"/>
        <w:spacing w:after="0"/>
        <w:tabs>
          <w:tab w:leader="none" w:pos="7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to use the LIBOR for the Eurodollar Term Loans;</w:t>
      </w:r>
    </w:p>
    <w:p>
      <w:pPr>
        <w:spacing w:after="0" w:line="194" w:lineRule="exact"/>
        <w:rPr>
          <w:rFonts w:ascii="Courier New" w:cs="Courier New" w:eastAsia="Courier New" w:hAnsi="Courier New"/>
          <w:sz w:val="16"/>
          <w:szCs w:val="16"/>
          <w:color w:val="auto"/>
        </w:rPr>
      </w:pPr>
    </w:p>
    <w:p>
      <w:pPr>
        <w:ind w:right="2979" w:firstLine="489"/>
        <w:spacing w:after="0" w:line="252" w:lineRule="auto"/>
        <w:tabs>
          <w:tab w:leader="none" w:pos="7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to amend the terms of the Company's $50,000,000 Prulease and to grant additional security therefor;</w:t>
      </w:r>
    </w:p>
    <w:p>
      <w:pPr>
        <w:spacing w:after="0" w:line="183" w:lineRule="exact"/>
        <w:rPr>
          <w:rFonts w:ascii="Courier New" w:cs="Courier New" w:eastAsia="Courier New" w:hAnsi="Courier New"/>
          <w:sz w:val="16"/>
          <w:szCs w:val="16"/>
          <w:color w:val="auto"/>
        </w:rPr>
      </w:pPr>
    </w:p>
    <w:p>
      <w:pPr>
        <w:ind w:right="4059" w:firstLine="489"/>
        <w:spacing w:after="0" w:line="252" w:lineRule="auto"/>
        <w:tabs>
          <w:tab w:leader="none" w:pos="7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to lease certain real estate and equipment to Consolidation.</w:t>
      </w:r>
    </w:p>
    <w:p>
      <w:pPr>
        <w:spacing w:after="0" w:line="183"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The Staff of the Commission demonstrated that the granting of the authority sought could have an impact on rates. Thus, the Staff recommended that the Commission confine its analysis to a review of the approvals sought. Such an analysis must carry with it the implication that any findings and conclusions contained herein will not be applicable for ratemaking purposes.</w:t>
      </w:r>
    </w:p>
    <w:p>
      <w:pPr>
        <w:sectPr>
          <w:pgSz w:w="11900" w:h="16838" w:orient="portrait"/>
          <w:cols w:equalWidth="0" w:num="1">
            <w:col w:w="10219"/>
          </w:cols>
          <w:pgMar w:left="240" w:top="142" w:right="1440" w:bottom="1440" w:gutter="0" w:footer="0" w:header="0"/>
        </w:sectPr>
      </w:pPr>
    </w:p>
    <w:bookmarkStart w:id="8" w:name="page9"/>
    <w:bookmarkEnd w:id="8"/>
    <w:p>
      <w:pPr>
        <w:ind w:left="3620"/>
        <w:spacing w:after="0"/>
        <w:rPr>
          <w:sz w:val="20"/>
          <w:szCs w:val="20"/>
          <w:color w:val="auto"/>
        </w:rPr>
      </w:pPr>
      <w:r>
        <w:rPr>
          <w:rFonts w:ascii="Courier New" w:cs="Courier New" w:eastAsia="Courier New" w:hAnsi="Courier New"/>
          <w:sz w:val="16"/>
          <w:szCs w:val="16"/>
          <w:color w:val="auto"/>
        </w:rPr>
        <w:t>-3-</w:t>
      </w:r>
    </w:p>
    <w:p>
      <w:pPr>
        <w:spacing w:after="0" w:line="383" w:lineRule="exact"/>
        <w:rPr>
          <w:sz w:val="20"/>
          <w:szCs w:val="20"/>
          <w:color w:val="auto"/>
        </w:rPr>
      </w:pPr>
    </w:p>
    <w:p>
      <w:pPr>
        <w:ind w:right="3079" w:firstLine="489"/>
        <w:spacing w:after="0" w:line="252" w:lineRule="auto"/>
        <w:rPr>
          <w:sz w:val="20"/>
          <w:szCs w:val="20"/>
          <w:color w:val="auto"/>
        </w:rPr>
      </w:pPr>
      <w:r>
        <w:rPr>
          <w:rFonts w:ascii="Courier New" w:cs="Courier New" w:eastAsia="Courier New" w:hAnsi="Courier New"/>
          <w:sz w:val="16"/>
          <w:szCs w:val="16"/>
          <w:color w:val="auto"/>
        </w:rPr>
        <w:t>The CAP, through a written submission filed on July 27, 1984, had certain comments on each restructured agreement. Those comments included:</w:t>
      </w:r>
    </w:p>
    <w:p>
      <w:pPr>
        <w:spacing w:after="0" w:line="183" w:lineRule="exact"/>
        <w:rPr>
          <w:sz w:val="20"/>
          <w:szCs w:val="20"/>
          <w:color w:val="auto"/>
        </w:rPr>
      </w:pPr>
    </w:p>
    <w:p>
      <w:pPr>
        <w:ind w:right="2699" w:firstLine="489"/>
        <w:spacing w:after="0" w:line="250" w:lineRule="auto"/>
        <w:tabs>
          <w:tab w:leader="none" w:pos="7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recommendation that the Commission assign priority to the review of the Domestic Term Loan and the Prulease inasmuch as those are the only agreements which must be expeditiously executed;</w:t>
      </w:r>
    </w:p>
    <w:p>
      <w:pPr>
        <w:spacing w:after="0" w:line="185" w:lineRule="exact"/>
        <w:rPr>
          <w:rFonts w:ascii="Courier New" w:cs="Courier New" w:eastAsia="Courier New" w:hAnsi="Courier New"/>
          <w:sz w:val="16"/>
          <w:szCs w:val="16"/>
          <w:color w:val="auto"/>
        </w:rPr>
      </w:pPr>
    </w:p>
    <w:p>
      <w:pPr>
        <w:ind w:left="780" w:hanging="291"/>
        <w:spacing w:after="0"/>
        <w:tabs>
          <w:tab w:leader="none" w:pos="7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recommendation that the Domestic Term Loan be approved;</w:t>
      </w:r>
    </w:p>
    <w:p>
      <w:pPr>
        <w:spacing w:after="0" w:line="194" w:lineRule="exact"/>
        <w:rPr>
          <w:rFonts w:ascii="Courier New" w:cs="Courier New" w:eastAsia="Courier New" w:hAnsi="Courier New"/>
          <w:sz w:val="16"/>
          <w:szCs w:val="16"/>
          <w:color w:val="auto"/>
        </w:rPr>
      </w:pPr>
    </w:p>
    <w:p>
      <w:pPr>
        <w:ind w:right="3079" w:firstLine="489"/>
        <w:spacing w:after="0" w:line="252" w:lineRule="auto"/>
        <w:tabs>
          <w:tab w:leader="none" w:pos="7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recommendation (with reservations) that the amended Prulease be approved;</w:t>
      </w:r>
    </w:p>
    <w:p>
      <w:pPr>
        <w:spacing w:after="0" w:line="183" w:lineRule="exact"/>
        <w:rPr>
          <w:rFonts w:ascii="Courier New" w:cs="Courier New" w:eastAsia="Courier New" w:hAnsi="Courier New"/>
          <w:sz w:val="16"/>
          <w:szCs w:val="16"/>
          <w:color w:val="auto"/>
        </w:rPr>
      </w:pPr>
    </w:p>
    <w:p>
      <w:pPr>
        <w:ind w:right="2879" w:firstLine="489"/>
        <w:spacing w:after="0" w:line="252" w:lineRule="auto"/>
        <w:tabs>
          <w:tab w:leader="none" w:pos="7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recommendation (with reservations) that the Eurodollar Term Loans be approved;</w:t>
      </w:r>
    </w:p>
    <w:p>
      <w:pPr>
        <w:spacing w:after="0" w:line="183" w:lineRule="exact"/>
        <w:rPr>
          <w:rFonts w:ascii="Courier New" w:cs="Courier New" w:eastAsia="Courier New" w:hAnsi="Courier New"/>
          <w:sz w:val="16"/>
          <w:szCs w:val="16"/>
          <w:color w:val="auto"/>
        </w:rPr>
      </w:pPr>
    </w:p>
    <w:p>
      <w:pPr>
        <w:ind w:right="2699" w:firstLine="489"/>
        <w:spacing w:after="0" w:line="252" w:lineRule="auto"/>
        <w:tabs>
          <w:tab w:leader="none" w:pos="7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recommendation that the Commission approve the short term note with UE&amp;C with accompanying encouragement to the Company to repay the note;</w:t>
      </w:r>
    </w:p>
    <w:p>
      <w:pPr>
        <w:spacing w:after="0" w:line="183" w:lineRule="exact"/>
        <w:rPr>
          <w:rFonts w:ascii="Courier New" w:cs="Courier New" w:eastAsia="Courier New" w:hAnsi="Courier New"/>
          <w:sz w:val="16"/>
          <w:szCs w:val="16"/>
          <w:color w:val="auto"/>
        </w:rPr>
      </w:pPr>
    </w:p>
    <w:p>
      <w:pPr>
        <w:ind w:right="2879" w:firstLine="489"/>
        <w:spacing w:after="0" w:line="250" w:lineRule="auto"/>
        <w:tabs>
          <w:tab w:leader="none" w:pos="7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recommendation that approval of the revolving credit facility be deferred pending a requirement that PSNH address certain concerns about the collateral;</w:t>
      </w:r>
    </w:p>
    <w:p>
      <w:pPr>
        <w:spacing w:after="0" w:line="185" w:lineRule="exact"/>
        <w:rPr>
          <w:rFonts w:ascii="Courier New" w:cs="Courier New" w:eastAsia="Courier New" w:hAnsi="Courier New"/>
          <w:sz w:val="16"/>
          <w:szCs w:val="16"/>
          <w:color w:val="auto"/>
        </w:rPr>
      </w:pPr>
    </w:p>
    <w:p>
      <w:pPr>
        <w:ind w:right="2879" w:firstLine="489"/>
        <w:spacing w:after="0" w:line="250" w:lineRule="auto"/>
        <w:tabs>
          <w:tab w:leader="none" w:pos="7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recommendation that approval of the lease of certain land and equipment to Consolidation be deferred until certain concerns about the new coal contract are addressed; and</w:t>
      </w:r>
    </w:p>
    <w:p>
      <w:pPr>
        <w:spacing w:after="0" w:line="185" w:lineRule="exact"/>
        <w:rPr>
          <w:rFonts w:ascii="Courier New" w:cs="Courier New" w:eastAsia="Courier New" w:hAnsi="Courier New"/>
          <w:sz w:val="16"/>
          <w:szCs w:val="16"/>
          <w:color w:val="auto"/>
        </w:rPr>
      </w:pPr>
    </w:p>
    <w:p>
      <w:pPr>
        <w:ind w:left="780" w:hanging="291"/>
        <w:spacing w:after="0"/>
        <w:tabs>
          <w:tab w:leader="none" w:pos="7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recommendation that the Commission adopt the suggestion of the</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Staff.</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ANALYSIS</w:t>
      </w:r>
    </w:p>
    <w:p>
      <w:pPr>
        <w:spacing w:after="0" w:line="195" w:lineRule="exact"/>
        <w:rPr>
          <w:sz w:val="20"/>
          <w:szCs w:val="20"/>
          <w:color w:val="auto"/>
        </w:rPr>
      </w:pPr>
    </w:p>
    <w:p>
      <w:pPr>
        <w:ind w:right="2799" w:firstLine="489"/>
        <w:spacing w:after="0" w:line="249" w:lineRule="auto"/>
        <w:rPr>
          <w:sz w:val="20"/>
          <w:szCs w:val="20"/>
          <w:color w:val="auto"/>
        </w:rPr>
      </w:pPr>
      <w:r>
        <w:rPr>
          <w:rFonts w:ascii="Courier New" w:cs="Courier New" w:eastAsia="Courier New" w:hAnsi="Courier New"/>
          <w:sz w:val="16"/>
          <w:szCs w:val="16"/>
          <w:color w:val="auto"/>
        </w:rPr>
        <w:t>After review, we find that the authority requested by PSNH is in the public good. This finding is based upon our review of the restructured agreements as a package which saw its genesis in the Company's liquidity crisis of 1984. Our finding is also based on our analysis of each individual approval sought by the Company. That analysis is set forth below.</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Short Term Debt Limit</w:t>
      </w:r>
    </w:p>
    <w:p>
      <w:pPr>
        <w:spacing w:after="0" w:line="19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Pursuant to RSA 369:7 (Supp. 1981), the Commission, in Re Public Service Co. of New Hampshire (1981) 66 NH PUC 151, 153, approved a short term debt limit of $190,000,000. If the Company were to fully draw on the short term credit allowed in the restructured agreements, it would incur short term debt at a level of $220,500,000. This increase of $30,500,000 in the short term debt limit is reasonable for PSNH given its size and its critical need for a modicum of financial flexibility.</w:t>
      </w:r>
    </w:p>
    <w:p>
      <w:pPr>
        <w:spacing w:after="0" w:line="187"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Our analysis of the increase in the short term debt limit recognizes the concerns of the parties, as well as our own concerns, with the revolving credit facility and the UE&amp;C Note. The concerns with the revolving credit facility were directed at the security interest in the accounts receivable which will be addressed separately below. The concern with the UE&amp;C Note is not sufficient to cause us to deny the requested approval. We believe that the Company should retain maximum flexibility to manage appropriately the construction of the Seabrook facility. Thus, the UE&amp;C Note balances financial flexibility against construction management flexibility. On the basis of the instant record, we believe that it is appropriate to allow PSNH management to</w:t>
      </w:r>
    </w:p>
    <w:p>
      <w:pPr>
        <w:sectPr>
          <w:pgSz w:w="11900" w:h="16838" w:orient="portrait"/>
          <w:cols w:equalWidth="0" w:num="1">
            <w:col w:w="10219"/>
          </w:cols>
          <w:pgMar w:left="240" w:top="492" w:right="1440" w:bottom="1440" w:gutter="0" w:footer="0" w:header="0"/>
        </w:sectPr>
      </w:pPr>
    </w:p>
    <w:bookmarkStart w:id="9" w:name="page10"/>
    <w:bookmarkEnd w:id="9"/>
    <w:p>
      <w:pPr>
        <w:ind w:left="3620"/>
        <w:spacing w:after="0"/>
        <w:rPr>
          <w:sz w:val="20"/>
          <w:szCs w:val="20"/>
          <w:color w:val="auto"/>
        </w:rPr>
      </w:pPr>
      <w:r>
        <w:rPr>
          <w:rFonts w:ascii="Courier New" w:cs="Courier New" w:eastAsia="Courier New" w:hAnsi="Courier New"/>
          <w:sz w:val="16"/>
          <w:szCs w:val="16"/>
          <w:color w:val="auto"/>
        </w:rPr>
        <w:t>-4-</w:t>
      </w:r>
    </w:p>
    <w:p>
      <w:pPr>
        <w:spacing w:after="0" w:line="383" w:lineRule="exact"/>
        <w:rPr>
          <w:sz w:val="20"/>
          <w:szCs w:val="20"/>
          <w:color w:val="auto"/>
        </w:rPr>
      </w:pPr>
    </w:p>
    <w:p>
      <w:pPr>
        <w:ind w:right="2879"/>
        <w:spacing w:after="0" w:line="249" w:lineRule="auto"/>
        <w:rPr>
          <w:sz w:val="20"/>
          <w:szCs w:val="20"/>
          <w:color w:val="auto"/>
        </w:rPr>
      </w:pPr>
      <w:r>
        <w:rPr>
          <w:rFonts w:ascii="Courier New" w:cs="Courier New" w:eastAsia="Courier New" w:hAnsi="Courier New"/>
          <w:sz w:val="16"/>
          <w:szCs w:val="16"/>
          <w:color w:val="auto"/>
        </w:rPr>
        <w:t>make the initial decision about where the need for flexibility is greatest. How ever, we also adopt CAP's recommendation that we encourage PSNH to take advantage of the Note's prepayment terms, if appropriate, so as to attain maximum flexibility in construction management.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Accounts Receivable</w:t>
      </w:r>
    </w:p>
    <w:p>
      <w:pPr>
        <w:spacing w:after="0" w:line="195" w:lineRule="exact"/>
        <w:rPr>
          <w:sz w:val="20"/>
          <w:szCs w:val="20"/>
          <w:color w:val="auto"/>
        </w:rPr>
      </w:pPr>
    </w:p>
    <w:p>
      <w:pPr>
        <w:ind w:right="2799" w:firstLine="489"/>
        <w:spacing w:after="0" w:line="250" w:lineRule="auto"/>
        <w:rPr>
          <w:sz w:val="20"/>
          <w:szCs w:val="20"/>
          <w:color w:val="auto"/>
        </w:rPr>
      </w:pPr>
      <w:r>
        <w:rPr>
          <w:rFonts w:ascii="Courier New" w:cs="Courier New" w:eastAsia="Courier New" w:hAnsi="Courier New"/>
          <w:sz w:val="16"/>
          <w:szCs w:val="16"/>
          <w:color w:val="auto"/>
        </w:rPr>
        <w:t>As a part of the proposed revolving credit facility, the Company agreed to grant a security interest in its accounts receivable. PSNH is seeking authority pursuant to RSA 369:2 and 7 to enter into the arrangement.</w:t>
      </w:r>
    </w:p>
    <w:p>
      <w:pPr>
        <w:spacing w:after="0" w:line="18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We share the concerns expressed by CAP and others about the pledge of accounts receivable. However, we believe that the realities of the Company's financial situation combined with the practicalities of how the security interest may be utilized are sufficient to allow us to grant the approval in spite of these concerns. This approval should not be construed to mean that the Commission favors this type of transaction. We are aware that in the past utilities and utility regulators did not favor account receivables as security for any debt, although this type of security has frequently been used by nonregulated industries. Since we have no real experience by utilities with this program it is not comforting to be one of the first commissions to approve such a security interest. As a result, we do not approve of this type of transaction on a permanent basis. In future financings we expect the Company to engage in more traditional finance transactions or to submit considerable evidence to support the acceptance of accounts receivable financing on a permanent basis.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the LIBOR for the Eurodollar Term Loans</w:t>
      </w:r>
    </w:p>
    <w:p>
      <w:pPr>
        <w:spacing w:after="0" w:line="195" w:lineRule="exact"/>
        <w:rPr>
          <w:sz w:val="20"/>
          <w:szCs w:val="20"/>
          <w:color w:val="auto"/>
        </w:rPr>
      </w:pPr>
    </w:p>
    <w:p>
      <w:pPr>
        <w:ind w:right="2979" w:firstLine="489"/>
        <w:spacing w:after="0" w:line="248" w:lineRule="auto"/>
        <w:rPr>
          <w:sz w:val="20"/>
          <w:szCs w:val="20"/>
          <w:color w:val="auto"/>
        </w:rPr>
      </w:pPr>
      <w:r>
        <w:rPr>
          <w:rFonts w:ascii="Courier New" w:cs="Courier New" w:eastAsia="Courier New" w:hAnsi="Courier New"/>
          <w:sz w:val="16"/>
          <w:szCs w:val="16"/>
          <w:color w:val="auto"/>
        </w:rPr>
        <w:t>As described above, the amended Eurodollar Term Loans give the lender the one time option of selecting an interest rate based on the Bank of Boston's Base Rate or a rate based on LIBOR. The rationale for the</w:t>
      </w:r>
    </w:p>
    <w:p>
      <w:pPr>
        <w:spacing w:after="0" w:line="2" w:lineRule="exact"/>
        <w:rPr>
          <w:sz w:val="20"/>
          <w:szCs w:val="20"/>
          <w:color w:val="auto"/>
        </w:rPr>
      </w:pPr>
    </w:p>
    <w:p>
      <w:pPr>
        <w:ind w:right="2799"/>
        <w:spacing w:after="0" w:line="249" w:lineRule="auto"/>
        <w:rPr>
          <w:sz w:val="20"/>
          <w:szCs w:val="20"/>
          <w:color w:val="auto"/>
        </w:rPr>
      </w:pPr>
      <w:r>
        <w:rPr>
          <w:rFonts w:ascii="Courier New" w:cs="Courier New" w:eastAsia="Courier New" w:hAnsi="Courier New"/>
          <w:sz w:val="16"/>
          <w:szCs w:val="16"/>
          <w:color w:val="auto"/>
        </w:rPr>
        <w:t>option is that the lender's own cost of money is often based on LIBOR. Since the two rates are roughly comparable (e.g. Ex. 4) as is the risk that either rate will rise or fall, we find that it is reasonable to approve the option contained in the amended Eurodollar agreement. Pursuant to RSA 369:7 (Supp. 1981), we will grant the requested approval.</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of Prulease</w:t>
      </w:r>
    </w:p>
    <w:p>
      <w:pPr>
        <w:spacing w:after="0" w:line="195" w:lineRule="exact"/>
        <w:rPr>
          <w:sz w:val="20"/>
          <w:szCs w:val="20"/>
          <w:color w:val="auto"/>
        </w:rPr>
      </w:pPr>
    </w:p>
    <w:p>
      <w:pPr>
        <w:ind w:right="2799" w:firstLine="489"/>
        <w:spacing w:after="0" w:line="249" w:lineRule="auto"/>
        <w:rPr>
          <w:sz w:val="20"/>
          <w:szCs w:val="20"/>
          <w:color w:val="auto"/>
        </w:rPr>
      </w:pPr>
      <w:r>
        <w:rPr>
          <w:rFonts w:ascii="Courier New" w:cs="Courier New" w:eastAsia="Courier New" w:hAnsi="Courier New"/>
          <w:sz w:val="16"/>
          <w:szCs w:val="16"/>
          <w:color w:val="auto"/>
        </w:rPr>
        <w:t>As described above, the Company has amended its Prulease transaction to provide for a higher interest rate and additional security in the form of General and Refunding Bonds. CAP's written submission recommended that the approval be granted. Our independent analysis is consistent with CAP's argument. In the context of the default which caused the need to renegotiate the Prulease, the new agreement is in the public good. Pursuant to RSA 369:1-4 and 7, we will grant the requested authority.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Consolidation Lease</w:t>
      </w:r>
    </w:p>
    <w:p>
      <w:pPr>
        <w:spacing w:after="0" w:line="195" w:lineRule="exact"/>
        <w:rPr>
          <w:sz w:val="20"/>
          <w:szCs w:val="20"/>
          <w:color w:val="auto"/>
        </w:rPr>
      </w:pPr>
    </w:p>
    <w:p>
      <w:pPr>
        <w:ind w:right="2979" w:firstLine="489"/>
        <w:spacing w:after="0" w:line="249" w:lineRule="auto"/>
        <w:rPr>
          <w:sz w:val="20"/>
          <w:szCs w:val="20"/>
          <w:color w:val="auto"/>
        </w:rPr>
      </w:pPr>
      <w:r>
        <w:rPr>
          <w:rFonts w:ascii="Courier New" w:cs="Courier New" w:eastAsia="Courier New" w:hAnsi="Courier New"/>
          <w:sz w:val="16"/>
          <w:szCs w:val="16"/>
          <w:color w:val="auto"/>
        </w:rPr>
        <w:t>As described above, PSNH proposes to lease certain equipment and the land underlaying the coal pile at Merrimack Station to Consolidation. This lease is necessary to allow Consolidation to retain title to the coal in accordance with the recently amended coal supply contract entered into between Consolidation and PSNH.</w:t>
      </w:r>
    </w:p>
    <w:p>
      <w:pPr>
        <w:sectPr>
          <w:pgSz w:w="11900" w:h="16838" w:orient="portrait"/>
          <w:cols w:equalWidth="0" w:num="1">
            <w:col w:w="10219"/>
          </w:cols>
          <w:pgMar w:left="240" w:top="492" w:right="1440" w:bottom="1440" w:gutter="0" w:footer="0" w:header="0"/>
        </w:sectPr>
      </w:pPr>
    </w:p>
    <w:bookmarkStart w:id="10" w:name="page11"/>
    <w:bookmarkEnd w:id="10"/>
    <w:p>
      <w:pPr>
        <w:ind w:left="3620"/>
        <w:spacing w:after="0"/>
        <w:rPr>
          <w:sz w:val="20"/>
          <w:szCs w:val="20"/>
          <w:color w:val="auto"/>
        </w:rPr>
      </w:pPr>
      <w:r>
        <w:rPr>
          <w:rFonts w:ascii="Courier New" w:cs="Courier New" w:eastAsia="Courier New" w:hAnsi="Courier New"/>
          <w:sz w:val="16"/>
          <w:szCs w:val="16"/>
          <w:color w:val="auto"/>
        </w:rPr>
        <w:t>-5-</w:t>
      </w:r>
    </w:p>
    <w:p>
      <w:pPr>
        <w:spacing w:after="0" w:line="383" w:lineRule="exact"/>
        <w:rPr>
          <w:sz w:val="20"/>
          <w:szCs w:val="20"/>
          <w:color w:val="auto"/>
        </w:rPr>
      </w:pPr>
    </w:p>
    <w:p>
      <w:pPr>
        <w:ind w:right="2799" w:firstLine="489"/>
        <w:spacing w:after="0" w:line="249" w:lineRule="auto"/>
        <w:rPr>
          <w:sz w:val="20"/>
          <w:szCs w:val="20"/>
          <w:color w:val="auto"/>
        </w:rPr>
      </w:pPr>
      <w:r>
        <w:rPr>
          <w:rFonts w:ascii="Courier New" w:cs="Courier New" w:eastAsia="Courier New" w:hAnsi="Courier New"/>
          <w:sz w:val="16"/>
          <w:szCs w:val="16"/>
          <w:color w:val="auto"/>
        </w:rPr>
        <w:t>CAP's concerns are directed at the effect of the new arrangement on PSNH's ability to continue to generate low cost electricity at Merrimack Station. These concerns were the subject of Docket No. DR 84-115 which resulted in Report and Supplemental Order No. 17,072 ([1984] 69 NH PUC 312). The concerns are also the subject of continuing Commission monitoring of PSNH's fuel supply situation. Thus, although we share CAP's concerns, we believe that they are more appropriately addressed in other dockets.</w:t>
      </w:r>
    </w:p>
    <w:p>
      <w:pPr>
        <w:spacing w:after="0" w:line="187"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After review, we find that approval of the authority sought will not restrict the Commission's ability to ensure adequate inventories of fuel. The transfer will allow Consolidation to retain what is, in effect, a security interest in the coal inventory. That interest will not be exercised as long as PSNH complies with the terms of its current contract with Consolidation. As noted in Supplemental Order No. 17,072, PSNH is on notice that the Commission will take all appropriate action, including segregation of customer revenues, to ensure an adequate supply of fuel. Both the lease considered herein and other steps the Commission can take, if necessary, are directed at the need to ensure adequate fuel supplies. Thus, pursuant to RSA 374:30, we find that the authority sought herein by the Company is in the public good.</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CONCLUSION</w:t>
      </w:r>
    </w:p>
    <w:p>
      <w:pPr>
        <w:spacing w:after="0" w:line="195" w:lineRule="exact"/>
        <w:rPr>
          <w:sz w:val="20"/>
          <w:szCs w:val="20"/>
          <w:color w:val="auto"/>
        </w:rPr>
      </w:pPr>
    </w:p>
    <w:p>
      <w:pPr>
        <w:ind w:right="2799" w:firstLine="489"/>
        <w:spacing w:after="0" w:line="249" w:lineRule="auto"/>
        <w:rPr>
          <w:sz w:val="20"/>
          <w:szCs w:val="20"/>
          <w:color w:val="auto"/>
        </w:rPr>
      </w:pPr>
      <w:r>
        <w:rPr>
          <w:rFonts w:ascii="Courier New" w:cs="Courier New" w:eastAsia="Courier New" w:hAnsi="Courier New"/>
          <w:sz w:val="16"/>
          <w:szCs w:val="16"/>
          <w:color w:val="auto"/>
        </w:rPr>
        <w:t>We have found that the authority requested in the Company's Petition is in the public good. Of necessity, this includes the increased cost of money which forms a part of these transactions. The record indicates that this increased cost could affect rates through the calculation of the rate of return component of the rate formula and through an increased level of capitalized AFUDC. Both the Staff and CAP expressed concerns about the ratemaking implications of the approval of the authority sought. We agree with those concerns.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Our review of the package of restructured agreements is based on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examination of the circumstances which lead to those agreements. Those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circumstances dictate a conclusion that the restructured agreements are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public good; however, that conclusion does not carry with it a finding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the cost of the agreements is reasonable for ratemaking purposes. That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must be left to the time when the Company seeks to pass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of the agreements to ratepayers. We have in this Report expressed some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concerns about the agreements; concerns that are more reasonably directed at</w:t>
      </w:r>
    </w:p>
    <w:p>
      <w:pPr>
        <w:spacing w:after="0" w:line="7"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inter alia ratemaking implications.</w:t>
        <w:tab/>
        <w:t>The existence of those concerns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means, inter alia, that the calculation of the cost of senior capital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next rate case will not be a simple arithmetic exercise. PSNH is hereby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placed on notice that the effects of its liquidity crisis on rates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fully explored at the appropriate time. Until that time, the Company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directed to keep the appropriate accounting records so that the cost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crisis may be quantified.</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Our Order will issue accordingly.</w:t>
      </w:r>
    </w:p>
    <w:p>
      <w:pPr>
        <w:spacing w:after="0" w:line="19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SUPPLEMENTAL ORDER</w:t>
      </w:r>
    </w:p>
    <w:p>
      <w:pPr>
        <w:spacing w:after="0" w:line="195" w:lineRule="exact"/>
        <w:rPr>
          <w:sz w:val="20"/>
          <w:szCs w:val="20"/>
          <w:color w:val="auto"/>
        </w:rPr>
      </w:pPr>
    </w:p>
    <w:p>
      <w:pPr>
        <w:ind w:right="2699" w:firstLine="489"/>
        <w:spacing w:after="0" w:line="252" w:lineRule="auto"/>
        <w:rPr>
          <w:sz w:val="20"/>
          <w:szCs w:val="20"/>
          <w:color w:val="auto"/>
        </w:rPr>
      </w:pPr>
      <w:r>
        <w:rPr>
          <w:rFonts w:ascii="Courier New" w:cs="Courier New" w:eastAsia="Courier New" w:hAnsi="Courier New"/>
          <w:sz w:val="16"/>
          <w:szCs w:val="16"/>
          <w:color w:val="auto"/>
        </w:rPr>
        <w:t>Upon consideration of the foregoing Report, which is made a part hereof; it is hereby</w:t>
      </w:r>
    </w:p>
    <w:p>
      <w:pPr>
        <w:spacing w:after="0" w:line="183" w:lineRule="exact"/>
        <w:rPr>
          <w:sz w:val="20"/>
          <w:szCs w:val="20"/>
          <w:color w:val="auto"/>
        </w:rPr>
      </w:pPr>
    </w:p>
    <w:p>
      <w:pPr>
        <w:ind w:right="2879" w:firstLine="489"/>
        <w:spacing w:after="0" w:line="252" w:lineRule="auto"/>
        <w:rPr>
          <w:sz w:val="20"/>
          <w:szCs w:val="20"/>
          <w:color w:val="auto"/>
        </w:rPr>
      </w:pPr>
      <w:r>
        <w:rPr>
          <w:rFonts w:ascii="Courier New" w:cs="Courier New" w:eastAsia="Courier New" w:hAnsi="Courier New"/>
          <w:sz w:val="16"/>
          <w:szCs w:val="16"/>
          <w:color w:val="auto"/>
        </w:rPr>
        <w:t>ORDERED, that the authority requested by Public Service Company of New Hampshire be, and hereby is, approved; and it is</w:t>
      </w:r>
    </w:p>
    <w:p>
      <w:pPr>
        <w:sectPr>
          <w:pgSz w:w="11900" w:h="16838" w:orient="portrait"/>
          <w:cols w:equalWidth="0" w:num="1">
            <w:col w:w="10219"/>
          </w:cols>
          <w:pgMar w:left="240" w:top="492" w:right="1440" w:bottom="1440" w:gutter="0" w:footer="0" w:header="0"/>
        </w:sectPr>
      </w:pPr>
    </w:p>
    <w:bookmarkStart w:id="11" w:name="page12"/>
    <w:bookmarkEnd w:id="11"/>
    <w:p>
      <w:pPr>
        <w:ind w:left="362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371" w:lineRule="exact"/>
        <w:rPr>
          <w:sz w:val="20"/>
          <w:szCs w:val="20"/>
          <w:color w:val="auto"/>
        </w:rPr>
      </w:pPr>
    </w:p>
    <w:p>
      <w:pPr>
        <w:ind w:right="2879" w:firstLine="489"/>
        <w:spacing w:after="0" w:line="252" w:lineRule="auto"/>
        <w:rPr>
          <w:sz w:val="20"/>
          <w:szCs w:val="20"/>
          <w:color w:val="auto"/>
        </w:rPr>
      </w:pPr>
      <w:r>
        <w:rPr>
          <w:rFonts w:ascii="Courier New" w:cs="Courier New" w:eastAsia="Courier New" w:hAnsi="Courier New"/>
          <w:sz w:val="16"/>
          <w:szCs w:val="16"/>
          <w:color w:val="auto"/>
        </w:rPr>
        <w:t>FURTHER ORDERED, that Public Service Company of New Hampshire maintain its accounting records as directed in the foregoing report.</w:t>
      </w:r>
    </w:p>
    <w:p>
      <w:pPr>
        <w:spacing w:after="0" w:line="183" w:lineRule="exact"/>
        <w:rPr>
          <w:sz w:val="20"/>
          <w:szCs w:val="20"/>
          <w:color w:val="auto"/>
        </w:rPr>
      </w:pPr>
    </w:p>
    <w:p>
      <w:pPr>
        <w:ind w:right="3379" w:firstLine="489"/>
        <w:spacing w:after="0" w:line="252" w:lineRule="auto"/>
        <w:rPr>
          <w:sz w:val="20"/>
          <w:szCs w:val="20"/>
          <w:color w:val="auto"/>
        </w:rPr>
      </w:pPr>
      <w:r>
        <w:rPr>
          <w:rFonts w:ascii="Courier New" w:cs="Courier New" w:eastAsia="Courier New" w:hAnsi="Courier New"/>
          <w:sz w:val="16"/>
          <w:szCs w:val="16"/>
          <w:color w:val="auto"/>
        </w:rPr>
        <w:t>By order of the Public Utilities Commission of New Hampshire this thirty-first day of July, 1984.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Commissioner Aeschliman Concurring in Part and Dissenting in Part</w:t>
      </w:r>
    </w:p>
    <w:p>
      <w:pPr>
        <w:spacing w:after="0" w:line="195" w:lineRule="exact"/>
        <w:rPr>
          <w:sz w:val="20"/>
          <w:szCs w:val="20"/>
          <w:color w:val="auto"/>
        </w:rPr>
      </w:pPr>
    </w:p>
    <w:p>
      <w:pPr>
        <w:ind w:right="2979" w:firstLine="489"/>
        <w:spacing w:after="0" w:line="249" w:lineRule="auto"/>
        <w:rPr>
          <w:sz w:val="20"/>
          <w:szCs w:val="20"/>
          <w:color w:val="auto"/>
        </w:rPr>
      </w:pPr>
      <w:r>
        <w:rPr>
          <w:rFonts w:ascii="Courier New" w:cs="Courier New" w:eastAsia="Courier New" w:hAnsi="Courier New"/>
          <w:sz w:val="16"/>
          <w:szCs w:val="16"/>
          <w:color w:val="auto"/>
        </w:rPr>
        <w:t>I concur with the decision of the majority relative to granting authority for Public Service Company to enter into restructure agreements with certain creditors and to increase their short term debt limit except that I would grant approval subject to the additional following exceptions and conditions.</w:t>
      </w:r>
    </w:p>
    <w:p>
      <w:pPr>
        <w:spacing w:after="0" w:line="187" w:lineRule="exact"/>
        <w:rPr>
          <w:sz w:val="20"/>
          <w:szCs w:val="20"/>
          <w:color w:val="auto"/>
        </w:rPr>
      </w:pPr>
    </w:p>
    <w:p>
      <w:pPr>
        <w:ind w:right="2879" w:firstLine="489"/>
        <w:spacing w:after="0" w:line="249" w:lineRule="auto"/>
        <w:rPr>
          <w:sz w:val="20"/>
          <w:szCs w:val="20"/>
          <w:color w:val="auto"/>
        </w:rPr>
      </w:pPr>
      <w:r>
        <w:rPr>
          <w:rFonts w:ascii="Courier New" w:cs="Courier New" w:eastAsia="Courier New" w:hAnsi="Courier New"/>
          <w:sz w:val="16"/>
          <w:szCs w:val="16"/>
          <w:color w:val="auto"/>
        </w:rPr>
        <w:t>I. Authority to increase the level of short term notes, bonds or other evidences of indebtedness to $220,000,000 pursuant to RSA 369:7 should be granted provided that the Agreement between Public Service Company of New Hampshire and United Engineers &amp; Constructors, Inc. is amended to delete Section II(e). (Exhibit 1, Attachment 5, p. 5.) That section reads as follows: SECTION 2. DEFAULT '(e) termination or material reduction of United's service at the Seabrook Project without United's consent.'</w:t>
      </w:r>
    </w:p>
    <w:p>
      <w:pPr>
        <w:spacing w:after="0" w:line="187"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While the Company does not require individual approval for short term financings and PSNH has not petitioned for approval of the Agreement with United Engineers and Constructors, the testimony in this proceeding indicates that the need to increase the short term borrowing limit is caused by this Agreement.</w:t>
      </w:r>
    </w:p>
    <w:p>
      <w:pPr>
        <w:spacing w:after="0" w:line="187" w:lineRule="exact"/>
        <w:rPr>
          <w:sz w:val="20"/>
          <w:szCs w:val="20"/>
          <w:color w:val="auto"/>
        </w:rPr>
      </w:pPr>
    </w:p>
    <w:p>
      <w:pPr>
        <w:ind w:right="2799" w:firstLine="489"/>
        <w:spacing w:after="0" w:line="249" w:lineRule="auto"/>
        <w:rPr>
          <w:sz w:val="20"/>
          <w:szCs w:val="20"/>
          <w:color w:val="auto"/>
        </w:rPr>
      </w:pPr>
      <w:r>
        <w:rPr>
          <w:rFonts w:ascii="Courier New" w:cs="Courier New" w:eastAsia="Courier New" w:hAnsi="Courier New"/>
          <w:sz w:val="16"/>
          <w:szCs w:val="16"/>
          <w:color w:val="auto"/>
        </w:rPr>
        <w:t>Given PSNH's extraordinary situation it may be reasonable for the Company to enter into loan agreements with certain contractors and vendors for payment of contract arrearages. However, under no circumstances is it reasonable nor is it in the public interest for PSNH to provide work guarantees to UE&amp;C. This is particularly apparent in light of Public Service Company's own stated position relative to UE&amp;C.</w:t>
      </w:r>
    </w:p>
    <w:p>
      <w:pPr>
        <w:spacing w:after="0" w:line="187" w:lineRule="exact"/>
        <w:rPr>
          <w:sz w:val="20"/>
          <w:szCs w:val="20"/>
          <w:color w:val="auto"/>
        </w:rPr>
      </w:pPr>
    </w:p>
    <w:p>
      <w:pPr>
        <w:ind w:right="2879" w:firstLine="489"/>
        <w:spacing w:after="0" w:line="249" w:lineRule="auto"/>
        <w:rPr>
          <w:sz w:val="20"/>
          <w:szCs w:val="20"/>
          <w:color w:val="auto"/>
        </w:rPr>
      </w:pPr>
      <w:r>
        <w:rPr>
          <w:rFonts w:ascii="Courier New" w:cs="Courier New" w:eastAsia="Courier New" w:hAnsi="Courier New"/>
          <w:sz w:val="16"/>
          <w:szCs w:val="16"/>
          <w:color w:val="auto"/>
        </w:rPr>
        <w:t>At a press conference when PSNH released the March 1 cost estimate and subsequently in statements before this Commission, Mr. Harrison indicated that PSNH was reviewing all courses of action against UE&amp;C including (1) termination of service; (2) reduction of employee levels; and (3) legal action. It is clear that Section II(e) may serve to prevent or constrain Public Service Company (or any successor -- N.H. Yankee) from taking any of these actions.</w:t>
      </w:r>
    </w:p>
    <w:p>
      <w:pPr>
        <w:spacing w:after="0" w:line="187"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Mr. Bayless, PSNH Financial Vice President, indicated that UE&amp;C is not interested in providing financing if the Company is terminated. However, UE&amp;C has already provided the financing, even though involuntarily, and now has a substantial interest in recovering their $20.5 million as well as in having the Seabrook project continue It is simply not necessary and it is clearly unreasonable to provide an employment guarantee, including a guarantee against material reduction in employment levels. Furthermore, PSNH should vigorously pursue the prepayment of this agreement in order to obtain the proper arms length relationship with the contractor.</w:t>
      </w:r>
    </w:p>
    <w:p>
      <w:pPr>
        <w:spacing w:after="0" w:line="187" w:lineRule="exact"/>
        <w:rPr>
          <w:sz w:val="20"/>
          <w:szCs w:val="20"/>
          <w:color w:val="auto"/>
        </w:rPr>
      </w:pPr>
    </w:p>
    <w:p>
      <w:pPr>
        <w:ind w:right="2799" w:firstLine="489"/>
        <w:spacing w:after="0" w:line="250" w:lineRule="auto"/>
        <w:tabs>
          <w:tab w:leader="none" w:pos="8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to secure short-term revolving credit by granting a security interest in all its billed and unbilled receivables pursuant to RSA 369:2 and 7 should be denied.</w:t>
      </w:r>
    </w:p>
    <w:p>
      <w:pPr>
        <w:sectPr>
          <w:pgSz w:w="11900" w:h="16838" w:orient="portrait"/>
          <w:cols w:equalWidth="0" w:num="1">
            <w:col w:w="10219"/>
          </w:cols>
          <w:pgMar w:left="240" w:top="492" w:right="1440" w:bottom="1440" w:gutter="0" w:footer="0" w:header="0"/>
        </w:sectPr>
      </w:pPr>
    </w:p>
    <w:bookmarkStart w:id="12" w:name="page13"/>
    <w:bookmarkEnd w:id="12"/>
    <w:p>
      <w:pPr>
        <w:ind w:left="362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71"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The testimony clearly indicates that the banks have negotiated an arrangement which is unreasonable in its terms and which endangers service to PSNH customers. The arrangement is unreasonable because (1) the revolving credit facility will cost approximately $720,000 on an annual basis for facility and commitment fees alone; (2) use of the facility will add an additional interest expense of 108% of base rate; (3) the facility can only be used when PSNH has less than $10 million in cash or other short-term funds (Exh. 1, Attachment 1, Covenant (b) at 4.); (4) the agreement includes other grounds for default beyond failure to make payments, including cross-default provisions; and (5) one of the covenants of the agreement is the successful accomplishment of at least $200 million of debenture financing. As a consequence of these requirements, this facility is of no use to PSNH unless it is experiencing difficulty in obtaining its long-term financing and is virtually out of cash. This is exactly the time at which using accounts receivable as collateral would most threaten PSNH's ability to provide service. Mr. Bayless has assured the Com mission that the Company would not wait until it had run out of cash to file for Chapter 11 protection should that be necessary. Mr. Coolbroth also assures the Commission that a bankruptcy court would surely intercede to protect service to customers by in effect vacating the terms of this revolving credit facility. Nevertheless, it is the Commission's duty to assure that service to customers is protected, and it can not rely upon the Company or a Court to fulfill its responsibility.</w:t>
      </w:r>
    </w:p>
    <w:p>
      <w:pPr>
        <w:spacing w:after="0" w:line="374"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The Commission should advise PSNH that it recognizes the need to provide security given its financial situation and that the Commission would approve use of security that is structured so as not to threaten service to customers. However, PSNH has not demonstrated that it has exhausted all other possibilities in obtaining a secured credit line with U.S. banks which will satisfy the European bankers. For example, Mr. Bayless indicated that the European banks had originally wanted a renewal of the Banker's Acceptance Facility. Since PSNH has now paid the $5 million in past default under the Bankers Acceptance Facility and since it must pay its arrearages to Consolidated Coal within a short time frame, reinstituting this facility would appear to be a possibility in conjunction with a Commission order earmarking and segregating funds for fuel bills. The Bankers Acceptance Facility would provide PSNH with much greater benefit by providing financing for its fuel inventories, while the Commission could at the same time be assured that fuel supplies and service to customers were not threatened.</w:t>
      </w:r>
    </w:p>
    <w:p>
      <w:pPr>
        <w:spacing w:after="0" w:line="187"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It is apparent that PSNH is hardly in a bargaining position to protect itself let alone its customers. It is the Commission's responsibility in this situation to protect both the Company and its customers. As Community Action Program (CAP) points out, the demands of the creditors must be logical and the transactions must be reasonable. It is not in the interest of the banks or other creditors to have these agreements collapse or to lose the money they already have at stake. Consequently, it is reasonable for the Commission to require these changes and it is reasonable to anticipate that they would be accepted by the parties to the agreements.</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FOOTNOTES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Motion to Intervene of Chris Spirou was subsequently withdrawn (Tr.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5).</w:t>
      </w:r>
    </w:p>
    <w:p>
      <w:pPr>
        <w:sectPr>
          <w:pgSz w:w="11900" w:h="16838" w:orient="portrait"/>
          <w:cols w:equalWidth="0" w:num="1">
            <w:col w:w="10219"/>
          </w:cols>
          <w:pgMar w:left="240" w:top="492" w:right="1440" w:bottom="1440" w:gutter="0" w:footer="0" w:header="0"/>
        </w:sectPr>
      </w:pPr>
    </w:p>
    <w:bookmarkStart w:id="13" w:name="page14"/>
    <w:bookmarkEnd w:id="13"/>
    <w:p>
      <w:pPr>
        <w:ind w:left="3620"/>
        <w:spacing w:after="0"/>
        <w:rPr>
          <w:sz w:val="20"/>
          <w:szCs w:val="20"/>
          <w:color w:val="auto"/>
        </w:rPr>
      </w:pPr>
      <w:r>
        <w:rPr>
          <w:rFonts w:ascii="Courier New" w:cs="Courier New" w:eastAsia="Courier New" w:hAnsi="Courier New"/>
          <w:sz w:val="16"/>
          <w:szCs w:val="16"/>
          <w:color w:val="auto"/>
        </w:rPr>
        <w:t>-8-</w:t>
      </w:r>
    </w:p>
    <w:p>
      <w:pPr>
        <w:spacing w:after="0" w:line="383" w:lineRule="exact"/>
        <w:rPr>
          <w:sz w:val="20"/>
          <w:szCs w:val="20"/>
          <w:color w:val="auto"/>
        </w:rPr>
      </w:pPr>
    </w:p>
    <w:p>
      <w:pPr>
        <w:ind w:right="2699" w:firstLine="98"/>
        <w:spacing w:after="0" w:line="249" w:lineRule="auto"/>
        <w:rPr>
          <w:sz w:val="20"/>
          <w:szCs w:val="20"/>
          <w:color w:val="auto"/>
        </w:rPr>
      </w:pPr>
      <w:r>
        <w:rPr>
          <w:rFonts w:ascii="Courier New" w:cs="Courier New" w:eastAsia="Courier New" w:hAnsi="Courier New"/>
          <w:sz w:val="16"/>
          <w:szCs w:val="16"/>
          <w:color w:val="auto"/>
        </w:rPr>
        <w:t>While the Company's creditors required equal treatment, there is some variation in the costs of the various restructured agreements. Thus, the extension of the Eurodollar Term Loans (Exh. 1, Attachment 2) allows the lenders the one time option of selecting the above described interest rate or a rate based on the London interbank rate ('LIBOR') plus 2 1/2%. In addition, the proposed revolving credit facility (Exh. 1, Attachment 1) requires the Company to pay to the banks an annual sum of approximately $721,000 whether or not the line of credit is utilized (Tr. at 146).</w:t>
      </w:r>
    </w:p>
    <w:p>
      <w:pPr>
        <w:spacing w:after="0" w:line="187" w:lineRule="exact"/>
        <w:rPr>
          <w:sz w:val="20"/>
          <w:szCs w:val="20"/>
          <w:color w:val="auto"/>
        </w:rPr>
      </w:pPr>
    </w:p>
    <w:p>
      <w:pPr>
        <w:ind w:right="2879" w:firstLine="98"/>
        <w:spacing w:after="0" w:line="250" w:lineRule="auto"/>
        <w:rPr>
          <w:sz w:val="20"/>
          <w:szCs w:val="20"/>
          <w:color w:val="auto"/>
        </w:rPr>
      </w:pPr>
      <w:r>
        <w:rPr>
          <w:rFonts w:ascii="Courier New" w:cs="Courier New" w:eastAsia="Courier New" w:hAnsi="Courier New"/>
          <w:sz w:val="16"/>
          <w:szCs w:val="16"/>
          <w:color w:val="auto"/>
        </w:rPr>
        <w:t>Authority to use LIBOR is necessary because the Commission previously ordered that short term debt rates be based on prime. Re Public Service Co. of New Hampshire (1981) 66 NH PUC 151, 153.</w:t>
      </w:r>
    </w:p>
    <w:p>
      <w:pPr>
        <w:spacing w:after="0" w:line="185" w:lineRule="exact"/>
        <w:rPr>
          <w:sz w:val="20"/>
          <w:szCs w:val="20"/>
          <w:color w:val="auto"/>
        </w:rPr>
      </w:pPr>
    </w:p>
    <w:p>
      <w:pPr>
        <w:ind w:right="2799" w:firstLine="98"/>
        <w:spacing w:after="0" w:line="249" w:lineRule="auto"/>
        <w:rPr>
          <w:sz w:val="20"/>
          <w:szCs w:val="20"/>
          <w:color w:val="auto"/>
        </w:rPr>
      </w:pPr>
      <w:r>
        <w:rPr>
          <w:rFonts w:ascii="Courier New" w:cs="Courier New" w:eastAsia="Courier New" w:hAnsi="Courier New"/>
          <w:sz w:val="16"/>
          <w:szCs w:val="16"/>
          <w:color w:val="auto"/>
        </w:rPr>
        <w:t>We are particularly concerned with the mechanics of the revolving credit loan and the facility fee associated therewith. The response to Staff cross-examination on the subject suggests that the facility fee will be incurred with only a slight probability that the Company will be able to draw on that line of credit.</w:t>
      </w:r>
    </w:p>
    <w:p>
      <w:pPr>
        <w:sectPr>
          <w:pgSz w:w="11900" w:h="16838" w:orient="portrait"/>
          <w:cols w:equalWidth="0" w:num="1">
            <w:col w:w="10219"/>
          </w:cols>
          <w:pgMar w:left="240" w:top="493" w:right="1440" w:bottom="1440" w:gutter="0" w:footer="0" w:header="0"/>
        </w:sectPr>
      </w:pPr>
    </w:p>
    <w:bookmarkStart w:id="14" w:name="page15"/>
    <w:bookmarkEnd w:id="14"/>
    <w:p>
      <w:pPr>
        <w:spacing w:after="0" w:line="19"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Exhibit D.10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Public Service Company of New Hampshire</w:t>
      </w:r>
    </w:p>
    <w:p>
      <w:pPr>
        <w:spacing w:after="0" w:line="19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DF 87-83</w:t>
      </w:r>
    </w:p>
    <w:p>
      <w:pPr>
        <w:spacing w:after="0" w:line="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Order No. 18,661</w:t>
      </w:r>
    </w:p>
    <w:p>
      <w:pPr>
        <w:spacing w:after="0" w:line="38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New Hampshire Public Utilities Commission</w:t>
      </w:r>
    </w:p>
    <w:p>
      <w:pPr>
        <w:spacing w:after="0" w:line="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May 6, 1987</w:t>
      </w:r>
    </w:p>
    <w:p>
      <w:pPr>
        <w:spacing w:after="0" w:line="383"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REPORT</w:t>
      </w:r>
    </w:p>
    <w:p>
      <w:pPr>
        <w:spacing w:after="0" w:line="195"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The Consumer Advocate requests that the Commission investigate PSNH's intention to raise 150 million dollars in short term debt pursuant to RSA 369, 374, &amp; 378. For the reasons set forth herein, the Commission denies that request.</w:t>
      </w:r>
    </w:p>
    <w:p>
      <w:pPr>
        <w:spacing w:after="0" w:line="188"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The Consumer Advocate sets forth that the current authority of PSNH to borrow $190 million dollars in short term debt is no longer valid because the Commission has not set established rules. He further argues that in the event the authority of PSNH to borrow 190 million short term is valid, that changed circumstances require an Easton type hearing.</w:t>
      </w:r>
    </w:p>
    <w:p>
      <w:pPr>
        <w:spacing w:after="0" w:line="187" w:lineRule="exact"/>
        <w:rPr>
          <w:sz w:val="20"/>
          <w:szCs w:val="20"/>
          <w:color w:val="auto"/>
        </w:rPr>
      </w:pPr>
    </w:p>
    <w:p>
      <w:pPr>
        <w:ind w:right="2879" w:firstLine="391"/>
        <w:spacing w:after="0" w:line="249" w:lineRule="auto"/>
        <w:rPr>
          <w:sz w:val="20"/>
          <w:szCs w:val="20"/>
          <w:color w:val="auto"/>
        </w:rPr>
      </w:pPr>
      <w:r>
        <w:rPr>
          <w:rFonts w:ascii="Courier New" w:cs="Courier New" w:eastAsia="Courier New" w:hAnsi="Courier New"/>
          <w:sz w:val="16"/>
          <w:szCs w:val="16"/>
          <w:color w:val="auto"/>
        </w:rPr>
        <w:t>The Commission has reviewed the petition of the Consumer Advocate and does not find that an Easton type review is appropriate on every allegation of changed circumstances on all financings filed by utilities. Short term financing is a well accepted practice of utilities to meet their ongoing obligations to provide service to customers between rate cases and the issuance of long term securities.</w:t>
      </w:r>
    </w:p>
    <w:p>
      <w:pPr>
        <w:spacing w:after="0" w:line="187"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The purpose of regulating a utility's financings is to prevent the problem of over capitalization. See Phillip, "The Regulation of Public Utilities" second printing, 1985, page 213. The capitalization of a utility refers to the amount of outstanding securities -- long term, short term, preferred and common stock. In DR 87-4, Order No. 18,626 (72 NH PUC 124, 129) we concluded that the scope of the proceeding would include, inter alia:</w:t>
      </w:r>
    </w:p>
    <w:p>
      <w:pPr>
        <w:spacing w:after="0" w:line="187" w:lineRule="exact"/>
        <w:rPr>
          <w:sz w:val="20"/>
          <w:szCs w:val="20"/>
          <w:color w:val="auto"/>
        </w:rPr>
      </w:pPr>
    </w:p>
    <w:p>
      <w:pPr>
        <w:ind w:left="480" w:right="3279" w:firstLine="9"/>
        <w:spacing w:after="0" w:line="249" w:lineRule="auto"/>
        <w:tabs>
          <w:tab w:leader="none" w:pos="77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it is economically feasible for PSNH to engage in the proposed financing including a determination of the level of revenues necessary to support the additions to the capital structure which results from successful completion of the proposed financing.</w:t>
      </w:r>
    </w:p>
    <w:p>
      <w:pPr>
        <w:spacing w:after="0" w:line="187"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6"/>
          <w:szCs w:val="16"/>
          <w:color w:val="auto"/>
        </w:rPr>
        <w:t>Within item 4 and the foregoing language the complete existing capital structure will be examined and all debt existing or about to exist will be considered in determining the level of revenue necessary to support the proposed financing.</w:t>
      </w:r>
    </w:p>
    <w:p>
      <w:pPr>
        <w:spacing w:after="0" w:line="188"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PSNH requested in "an individual case" a short term borrowing level of approximately $220 million in DF 84-168. That borrowing level was authorized by the Commission by Order No. 17,139, 69 NH PUC 415 (1984). That authority is still valid. It is not necessary to open a new docket to examine the effect of that borrowing since an examination of the long term debt outstanding and the short term debt outstanding, including the contemplated short term borrowing and the effect that said debts have on the total capital structure of PSNH, is within the scope of the proceeding in DR 87-4 Order No. 18,626 item 3 and 4.</w:t>
      </w:r>
    </w:p>
    <w:p>
      <w:pPr>
        <w:spacing w:after="0" w:line="200" w:lineRule="exact"/>
        <w:rPr>
          <w:sz w:val="20"/>
          <w:szCs w:val="20"/>
          <w:color w:val="auto"/>
        </w:rPr>
      </w:pP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pacing w:after="0" w:line="383" w:lineRule="exact"/>
        <w:rPr>
          <w:sz w:val="20"/>
          <w:szCs w:val="20"/>
          <w:color w:val="auto"/>
        </w:rPr>
      </w:pPr>
    </w:p>
    <w:p>
      <w:pPr>
        <w:ind w:right="2799" w:firstLine="391"/>
        <w:spacing w:after="0" w:line="249" w:lineRule="auto"/>
        <w:rPr>
          <w:sz w:val="20"/>
          <w:szCs w:val="20"/>
          <w:color w:val="auto"/>
        </w:rPr>
      </w:pPr>
      <w:r>
        <w:rPr>
          <w:rFonts w:ascii="Courier New" w:cs="Courier New" w:eastAsia="Courier New" w:hAnsi="Courier New"/>
          <w:sz w:val="16"/>
          <w:szCs w:val="16"/>
          <w:color w:val="auto"/>
        </w:rPr>
        <w:t>Upon conclusion of all of the evidence in DR 87-4 the Commission will be able to conclude whether PSNH should be authorized to borrow the 145 million dollars requested in addition to the exercise of the authority granted for short term borrowing or in lieu of short term borrowing. Appropriate conditions may be attached to any financing order which may be in the public interest.</w:t>
      </w:r>
    </w:p>
    <w:p>
      <w:pPr>
        <w:spacing w:after="0" w:line="187" w:lineRule="exact"/>
        <w:rPr>
          <w:sz w:val="20"/>
          <w:szCs w:val="20"/>
          <w:color w:val="auto"/>
        </w:rPr>
      </w:pPr>
    </w:p>
    <w:p>
      <w:pPr>
        <w:ind w:right="2799" w:firstLine="391"/>
        <w:spacing w:after="0" w:line="249" w:lineRule="auto"/>
        <w:rPr>
          <w:sz w:val="20"/>
          <w:szCs w:val="20"/>
          <w:color w:val="auto"/>
        </w:rPr>
      </w:pPr>
      <w:r>
        <w:rPr>
          <w:rFonts w:ascii="Courier New" w:cs="Courier New" w:eastAsia="Courier New" w:hAnsi="Courier New"/>
          <w:sz w:val="16"/>
          <w:szCs w:val="16"/>
          <w:color w:val="auto"/>
        </w:rPr>
        <w:t>In a separate motion, the Consumer Advocate requests that the Commission develop rules pursuant to RSA 541-A relative to the issuance of debt. The Commission finds such rules non-essential to the resolution of the instant petition, and unnecessary with respect to the manner in which the Commission generally addresses borrowing issues.</w:t>
      </w:r>
    </w:p>
    <w:p>
      <w:pPr>
        <w:spacing w:after="0" w:line="187"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Under its statutory authorization, for many years both before and after the 1981 amendment, the Commission has granted standing short-term borrowing authority to individual utilities by specific orders. For examples of such orders issued prior to the 1981 amendment, see Re Merrimack County Teleph. Co., 61 NH PUC 198 (1976); Re New England Power Co., 64 NH PUC 33 (1979); and Re Gas Service, Inc., 64 NH PUC 432 (1979). For examples of standing short-term borrowing orders issued to individual utilities after the 1981 amendment, see Re Hudson Water Co., 67 NH PUC 106 (1982); Re Northern Utilities, Inc., 68 NH PUC 1 (1983); and Re Concord Nat. Gas Corp., 68 NH PUC 738 (1983). The Commission has clearly understood its authority to issue</w:t>
      </w:r>
    </w:p>
    <w:p>
      <w:pPr>
        <w:sectPr>
          <w:pgSz w:w="11900" w:h="16858" w:orient="portrait"/>
          <w:cols w:equalWidth="0" w:num="1">
            <w:col w:w="10219"/>
          </w:cols>
          <w:pgMar w:left="240" w:top="518"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standing short-term borrowing orders under RSA 369:7 to individual utilities.</w:t>
      </w:r>
    </w:p>
    <w:p>
      <w:pPr>
        <w:spacing w:after="0" w:line="195" w:lineRule="exact"/>
        <w:rPr>
          <w:sz w:val="20"/>
          <w:szCs w:val="20"/>
          <w:color w:val="auto"/>
        </w:rPr>
      </w:pPr>
    </w:p>
    <w:p>
      <w:pPr>
        <w:ind w:right="2799" w:firstLine="391"/>
        <w:spacing w:after="0" w:line="249" w:lineRule="auto"/>
        <w:rPr>
          <w:sz w:val="20"/>
          <w:szCs w:val="20"/>
          <w:color w:val="auto"/>
        </w:rPr>
      </w:pPr>
      <w:r>
        <w:rPr>
          <w:rFonts w:ascii="Courier New" w:cs="Courier New" w:eastAsia="Courier New" w:hAnsi="Courier New"/>
          <w:sz w:val="16"/>
          <w:szCs w:val="16"/>
          <w:color w:val="auto"/>
        </w:rPr>
        <w:t>The Commission's long-standing practice in applying the statutory phrase "specific order of the Commission in an individual case" in no way conflicts with the statutory language and is an appropriate application of the statutory language.</w:t>
      </w:r>
    </w:p>
    <w:p>
      <w:pPr>
        <w:spacing w:after="0" w:line="188"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The Commission will apply that practice in the instant case. Accordingly, since application of any rules is unnecessary in addressing the instant petition, the Commission denies the Consumer Advocate's motion to establish appropriate rules pursuant to RSA 541:A.</w:t>
      </w:r>
    </w:p>
    <w:p>
      <w:pPr>
        <w:spacing w:after="0" w:line="188"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The Consumer Advocate further requests that the question of ". . . what entails on (sic) individual case" be transferred to the Supreme Court. The Commission finds no lack of clarity in the statutory wording, and finds it unnecessary to transfer the issue, to the Court. RSA 369:7 specifically provides two alternative methods by which a utility's short term borrowing may be analyzed. The Commission may either establish, by rules, the amount of borrowings which a company can make without specific investigation of a particular borrowing, or it may, upon specific investigation of a particular borrowing, issue an order setting forth the borrowing limits which the record in that docketed investigation justifies.</w:t>
      </w:r>
    </w:p>
    <w:p>
      <w:pPr>
        <w:spacing w:after="0" w:line="187" w:lineRule="exact"/>
        <w:rPr>
          <w:sz w:val="20"/>
          <w:szCs w:val="20"/>
          <w:color w:val="auto"/>
        </w:rPr>
      </w:pPr>
    </w:p>
    <w:p>
      <w:pPr>
        <w:ind w:right="2699" w:firstLine="391"/>
        <w:spacing w:after="0" w:line="252" w:lineRule="auto"/>
        <w:rPr>
          <w:sz w:val="20"/>
          <w:szCs w:val="20"/>
          <w:color w:val="auto"/>
        </w:rPr>
      </w:pPr>
      <w:r>
        <w:rPr>
          <w:rFonts w:ascii="Courier New" w:cs="Courier New" w:eastAsia="Courier New" w:hAnsi="Courier New"/>
          <w:sz w:val="16"/>
          <w:szCs w:val="16"/>
          <w:color w:val="auto"/>
        </w:rPr>
        <w:t>Accordingly, the Commission will not transfer the question to the Supreme Court.</w:t>
      </w:r>
    </w:p>
    <w:p>
      <w:pPr>
        <w:spacing w:after="0" w:line="18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Our Order will issue accordingly.</w:t>
      </w:r>
    </w:p>
    <w:p>
      <w:pPr>
        <w:spacing w:after="0" w:line="38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ORDER</w:t>
      </w:r>
    </w:p>
    <w:p>
      <w:pPr>
        <w:spacing w:after="0" w:line="195" w:lineRule="exact"/>
        <w:rPr>
          <w:sz w:val="20"/>
          <w:szCs w:val="20"/>
          <w:color w:val="auto"/>
        </w:rPr>
      </w:pPr>
    </w:p>
    <w:p>
      <w:pPr>
        <w:ind w:right="2799" w:firstLine="391"/>
        <w:spacing w:after="0" w:line="252" w:lineRule="auto"/>
        <w:rPr>
          <w:sz w:val="20"/>
          <w:szCs w:val="20"/>
          <w:color w:val="auto"/>
        </w:rPr>
      </w:pPr>
      <w:r>
        <w:rPr>
          <w:rFonts w:ascii="Courier New" w:cs="Courier New" w:eastAsia="Courier New" w:hAnsi="Courier New"/>
          <w:sz w:val="16"/>
          <w:szCs w:val="16"/>
          <w:color w:val="auto"/>
        </w:rPr>
        <w:t>Upon consideration of the foregoing Report, which is made a part hereof, it is hereby</w:t>
      </w:r>
    </w:p>
    <w:p>
      <w:pPr>
        <w:sectPr>
          <w:pgSz w:w="11900" w:h="16838" w:orient="portrait"/>
          <w:cols w:equalWidth="0" w:num="1">
            <w:col w:w="10219"/>
          </w:cols>
          <w:pgMar w:left="240" w:top="142" w:right="1440" w:bottom="1440" w:gutter="0" w:footer="0" w:header="0"/>
        </w:sectPr>
      </w:pPr>
    </w:p>
    <w:bookmarkStart w:id="16" w:name="page17"/>
    <w:bookmarkEnd w:id="16"/>
    <w:p>
      <w:pPr>
        <w:ind w:left="3620"/>
        <w:spacing w:after="0"/>
        <w:rPr>
          <w:sz w:val="20"/>
          <w:szCs w:val="20"/>
          <w:color w:val="auto"/>
        </w:rPr>
      </w:pPr>
      <w:r>
        <w:rPr>
          <w:rFonts w:ascii="Courier New" w:cs="Courier New" w:eastAsia="Courier New" w:hAnsi="Courier New"/>
          <w:sz w:val="16"/>
          <w:szCs w:val="16"/>
          <w:color w:val="auto"/>
        </w:rPr>
        <w:t>-3-</w:t>
      </w:r>
    </w:p>
    <w:p>
      <w:pPr>
        <w:spacing w:after="0" w:line="383" w:lineRule="exact"/>
        <w:rPr>
          <w:sz w:val="20"/>
          <w:szCs w:val="20"/>
          <w:color w:val="auto"/>
        </w:rPr>
      </w:pPr>
    </w:p>
    <w:p>
      <w:pPr>
        <w:ind w:right="3179" w:firstLine="391"/>
        <w:spacing w:after="0" w:line="250" w:lineRule="auto"/>
        <w:rPr>
          <w:sz w:val="20"/>
          <w:szCs w:val="20"/>
          <w:color w:val="auto"/>
        </w:rPr>
      </w:pPr>
      <w:r>
        <w:rPr>
          <w:rFonts w:ascii="Courier New" w:cs="Courier New" w:eastAsia="Courier New" w:hAnsi="Courier New"/>
          <w:sz w:val="16"/>
          <w:szCs w:val="16"/>
          <w:color w:val="auto"/>
        </w:rPr>
        <w:t>ORDERED, that the Consumer Advocate's request that the Commission investigate PSNH's intention to raise $150 Million in short term debt is denied; and it is</w:t>
      </w:r>
    </w:p>
    <w:p>
      <w:pPr>
        <w:spacing w:after="0" w:line="185" w:lineRule="exact"/>
        <w:rPr>
          <w:sz w:val="20"/>
          <w:szCs w:val="20"/>
          <w:color w:val="auto"/>
        </w:rPr>
      </w:pPr>
    </w:p>
    <w:p>
      <w:pPr>
        <w:ind w:right="2699" w:firstLine="391"/>
        <w:spacing w:after="0" w:line="250" w:lineRule="auto"/>
        <w:rPr>
          <w:sz w:val="20"/>
          <w:szCs w:val="20"/>
          <w:color w:val="auto"/>
        </w:rPr>
      </w:pPr>
      <w:r>
        <w:rPr>
          <w:rFonts w:ascii="Courier New" w:cs="Courier New" w:eastAsia="Courier New" w:hAnsi="Courier New"/>
          <w:sz w:val="16"/>
          <w:szCs w:val="16"/>
          <w:color w:val="auto"/>
        </w:rPr>
        <w:t>FURTHER ORDERED, that the Consumer Advocate's request that the Commission develop rules pursuant to RSA 541-A relative to the issuance of debt is denied without prejudice; and it is</w:t>
      </w:r>
    </w:p>
    <w:p>
      <w:pPr>
        <w:spacing w:after="0" w:line="185" w:lineRule="exact"/>
        <w:rPr>
          <w:sz w:val="20"/>
          <w:szCs w:val="20"/>
          <w:color w:val="auto"/>
        </w:rPr>
      </w:pPr>
    </w:p>
    <w:p>
      <w:pPr>
        <w:jc w:val="both"/>
        <w:ind w:right="2699" w:firstLine="391"/>
        <w:spacing w:after="0" w:line="250" w:lineRule="auto"/>
        <w:rPr>
          <w:sz w:val="20"/>
          <w:szCs w:val="20"/>
          <w:color w:val="auto"/>
        </w:rPr>
      </w:pPr>
      <w:r>
        <w:rPr>
          <w:rFonts w:ascii="Courier New" w:cs="Courier New" w:eastAsia="Courier New" w:hAnsi="Courier New"/>
          <w:sz w:val="16"/>
          <w:szCs w:val="16"/>
          <w:color w:val="auto"/>
        </w:rPr>
        <w:t>FURTHER ORDERED, that the Consumer Advocate's request that the Commission transfer the question of ". . . what entails on (sic) individual case" to the Supreme Court is hereby denied.</w:t>
      </w:r>
    </w:p>
    <w:p>
      <w:pPr>
        <w:spacing w:after="0" w:line="185" w:lineRule="exact"/>
        <w:rPr>
          <w:sz w:val="20"/>
          <w:szCs w:val="20"/>
          <w:color w:val="auto"/>
        </w:rPr>
      </w:pPr>
    </w:p>
    <w:p>
      <w:pPr>
        <w:ind w:right="2879" w:firstLine="391"/>
        <w:spacing w:after="0" w:line="252" w:lineRule="auto"/>
        <w:rPr>
          <w:sz w:val="20"/>
          <w:szCs w:val="20"/>
          <w:color w:val="auto"/>
        </w:rPr>
      </w:pPr>
      <w:r>
        <w:rPr>
          <w:rFonts w:ascii="Courier New" w:cs="Courier New" w:eastAsia="Courier New" w:hAnsi="Courier New"/>
          <w:sz w:val="16"/>
          <w:szCs w:val="16"/>
          <w:color w:val="auto"/>
        </w:rPr>
        <w:t>By Order of the Public Utilities Commission of New Hampshire this sixth day of May, 1987.</w:t>
      </w:r>
    </w:p>
    <w:p>
      <w:pPr>
        <w:spacing w:after="0" w:line="18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Opinion of Commissioner Aeschliman</w:t>
      </w:r>
    </w:p>
    <w:p>
      <w:pPr>
        <w:spacing w:after="0" w:line="195" w:lineRule="exact"/>
        <w:rPr>
          <w:sz w:val="20"/>
          <w:szCs w:val="20"/>
          <w:color w:val="auto"/>
        </w:rPr>
      </w:pPr>
    </w:p>
    <w:p>
      <w:pPr>
        <w:ind w:right="3179" w:firstLine="391"/>
        <w:spacing w:after="0" w:line="250" w:lineRule="auto"/>
        <w:rPr>
          <w:sz w:val="20"/>
          <w:szCs w:val="20"/>
          <w:color w:val="auto"/>
        </w:rPr>
      </w:pPr>
      <w:r>
        <w:rPr>
          <w:rFonts w:ascii="Courier New" w:cs="Courier New" w:eastAsia="Courier New" w:hAnsi="Courier New"/>
          <w:sz w:val="16"/>
          <w:szCs w:val="16"/>
          <w:color w:val="auto"/>
        </w:rPr>
        <w:t>I would grant the petition of the Consumer Advocate and I would consolidate the investigation with the long-term financing proceeding in docket DF 87-4.</w:t>
      </w:r>
    </w:p>
    <w:p>
      <w:pPr>
        <w:spacing w:after="0" w:line="185"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The financial situation of the Company has changed substantially since the short-term debt authorizations were granted by this Commission. When the authority was increased to $220 million by Order No. 17,139 in July 1984, all of the authorization was required for existing debt as part of the restructure of the Company's obligations. When these obligations were converted to longer term debt in July, 1985 the question of short-term debt authorization was not an issue because the Company did not have the opportunity to borrow additional funds on a short-term basis. Since that time the Company has continued to indicate that short-term financing was not possible given the financial condition of the Company. The Company's recent indication that it was pursuing short-term borrowing is the first indication the Commission has had that this is an avenue open to the Company.</w:t>
      </w:r>
    </w:p>
    <w:p>
      <w:pPr>
        <w:spacing w:after="0" w:line="187"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If the Commission affirms the effectiveness of the 1984 Order authorizing up to $220 million in short-term debt and grants the authority requested in DF 87-4, the Company will have the ability to increase its indebtedness by $440 million without an investigation into the financial condition of the Company. Consistent with my opinion regarding the proper scope of review in DF 87-4, I do not believe the Company should be increasing its indebtedness pending an appropriate review in that case. The purpose of consolidating an investigation of the short-term financing with that proceeding would be to provide the flexibility to approve short-term financing sufficient to carry the Company during the proceeding should it be demonstrated that such financing was essential.</w:t>
      </w:r>
    </w:p>
    <w:p>
      <w:pPr>
        <w:sectPr>
          <w:pgSz w:w="11900" w:h="16838" w:orient="portrait"/>
          <w:cols w:equalWidth="0" w:num="1">
            <w:col w:w="10219"/>
          </w:cols>
          <w:pgMar w:left="240" w:top="493" w:right="1440" w:bottom="1440" w:gutter="0" w:footer="0" w:header="0"/>
        </w:sectPr>
      </w:pPr>
    </w:p>
    <w:bookmarkStart w:id="17" w:name="page18"/>
    <w:bookmarkEnd w:id="17"/>
    <w:p>
      <w:pPr>
        <w:spacing w:after="0" w:line="12"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Exhibit D.11</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Public Service Company of New Hampshire</w:t>
      </w:r>
    </w:p>
    <w:p>
      <w:pPr>
        <w:spacing w:after="0" w:line="383"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DF 87-83</w:t>
      </w:r>
    </w:p>
    <w:p>
      <w:pPr>
        <w:spacing w:after="0" w:line="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Supplemental Order No. 18,689</w:t>
      </w:r>
    </w:p>
    <w:p>
      <w:pPr>
        <w:spacing w:after="0" w:line="38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New Hampshire Public Utilities Commission</w:t>
      </w:r>
    </w:p>
    <w:p>
      <w:pPr>
        <w:spacing w:after="0" w:line="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May 28, 1987</w:t>
      </w:r>
    </w:p>
    <w:p>
      <w:pPr>
        <w:spacing w:after="0" w:line="383"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REPORT REGARDING MOTIONS FOR REHEARING AND MOTION TO</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REOPEN SHORT TERM FINANCING DOCKETS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Introduction and Procedural History</w:t>
      </w:r>
    </w:p>
    <w:p>
      <w:pPr>
        <w:spacing w:after="0" w:line="195"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This Report and Order denies certain motions related to Report and Order No. 18,661 (72 NH PUC 162), issued on May 6, 1987. In that Report and Order, the Commission denied the Consumer Advocate's request to investigate the intention of Public Service Company of New Hampshire (PSNH) to raise 150 million dollars in short term debt. It also denied, without prejudice, the Consumer Advocate's request that the Commission develop rules pursuant to RSA 541-A on the issuance of debt.</w:t>
      </w:r>
    </w:p>
    <w:p>
      <w:pPr>
        <w:spacing w:after="0" w:line="187" w:lineRule="exact"/>
        <w:rPr>
          <w:sz w:val="20"/>
          <w:szCs w:val="20"/>
          <w:color w:val="auto"/>
        </w:rPr>
      </w:pPr>
    </w:p>
    <w:p>
      <w:pPr>
        <w:ind w:right="2879" w:firstLine="391"/>
        <w:spacing w:after="0" w:line="249" w:lineRule="auto"/>
        <w:rPr>
          <w:sz w:val="20"/>
          <w:szCs w:val="20"/>
          <w:color w:val="auto"/>
        </w:rPr>
      </w:pPr>
      <w:r>
        <w:rPr>
          <w:rFonts w:ascii="Courier New" w:cs="Courier New" w:eastAsia="Courier New" w:hAnsi="Courier New"/>
          <w:sz w:val="16"/>
          <w:szCs w:val="16"/>
          <w:color w:val="auto"/>
        </w:rPr>
        <w:t>On May 18, 1987, the Consumer Advocate filed a motion to rehear Report and Order No. 18,661 pursuant to RSA 541:3. On the same date the Consumer Advocate also filed a motion to reopen the consideration of PSNH Short Term Financing in Dockets DF 81-76 and DF 84-168. On May 20, 1987, the Campaign for Ratepayers Rights (CRR) also filed a motion for rehearing of Report and Order 18,661. On May 22, 1987, PSNH filed responses to these Consumer Advocate and CRR motions. In the Report and Order below, the Commission discusses PSNH's authority for short term debt under outstanding Commission orders and denies the Motions.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II. PSNH's Authority</w:t>
      </w:r>
    </w:p>
    <w:p>
      <w:pPr>
        <w:spacing w:after="0" w:line="195"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RSA 369:7 provides two methods for the Commission to authorize the issuance or renewal of short term debt: 1) by rules and, 2) by specific order in individual cases. The State Administrative Procedures Act (APA) defines a rule as a:</w:t>
      </w:r>
    </w:p>
    <w:p>
      <w:pPr>
        <w:spacing w:after="0" w:line="188" w:lineRule="exact"/>
        <w:rPr>
          <w:sz w:val="20"/>
          <w:szCs w:val="20"/>
          <w:color w:val="auto"/>
        </w:rPr>
      </w:pPr>
    </w:p>
    <w:p>
      <w:pPr>
        <w:ind w:right="2799"/>
        <w:spacing w:after="0" w:line="249" w:lineRule="auto"/>
        <w:rPr>
          <w:sz w:val="20"/>
          <w:szCs w:val="20"/>
          <w:color w:val="auto"/>
        </w:rPr>
      </w:pPr>
      <w:r>
        <w:rPr>
          <w:rFonts w:ascii="Courier New" w:cs="Courier New" w:eastAsia="Courier New" w:hAnsi="Courier New"/>
          <w:sz w:val="16"/>
          <w:szCs w:val="16"/>
          <w:color w:val="auto"/>
        </w:rPr>
        <w:t>regulation, standard or other statement of general applicability adopted by an agency to (a) implement, interpret or make specific a statute enforced or administered by the agency or (b) prescribe or interpret an agency policy, procedure or practice requirement binding on persons outside the agency, whether members of the general public or personnel in other agencies.</w:t>
      </w:r>
    </w:p>
    <w:p>
      <w:pPr>
        <w:spacing w:after="0" w:line="187" w:lineRule="exact"/>
        <w:rPr>
          <w:sz w:val="20"/>
          <w:szCs w:val="20"/>
          <w:color w:val="auto"/>
        </w:rPr>
      </w:pPr>
    </w:p>
    <w:p>
      <w:pPr>
        <w:ind w:left="480" w:right="3179"/>
        <w:spacing w:after="0" w:line="249" w:lineRule="auto"/>
        <w:rPr>
          <w:sz w:val="20"/>
          <w:szCs w:val="20"/>
          <w:color w:val="auto"/>
        </w:rPr>
      </w:pPr>
      <w:r>
        <w:rPr>
          <w:rFonts w:ascii="Courier New" w:cs="Courier New" w:eastAsia="Courier New" w:hAnsi="Courier New"/>
          <w:sz w:val="16"/>
          <w:szCs w:val="16"/>
          <w:color w:val="auto"/>
        </w:rPr>
        <w:t>RSA 541-A:1 (1986 Supp.). The APA requires agencies such as the PUC to follow certain specified procedures in promulgating rules. RSA 541-A:3. (1986 Supp.) In contrast to rulemaking, the APA defines a "contested case" as a proceeding "in which the legal rights, duties or privileges of a party are required by law to be determined by an agency after an opportunity for a hearing". RSA 541-A:1 (1986 Supp.).</w:t>
      </w:r>
    </w:p>
    <w:p>
      <w:pPr>
        <w:spacing w:after="0" w:line="187" w:lineRule="exact"/>
        <w:rPr>
          <w:sz w:val="20"/>
          <w:szCs w:val="20"/>
          <w:color w:val="auto"/>
        </w:rPr>
      </w:pPr>
    </w:p>
    <w:p>
      <w:pPr>
        <w:ind w:right="2799" w:firstLine="391"/>
        <w:spacing w:after="0" w:line="249" w:lineRule="auto"/>
        <w:rPr>
          <w:sz w:val="20"/>
          <w:szCs w:val="20"/>
          <w:color w:val="auto"/>
        </w:rPr>
      </w:pPr>
      <w:r>
        <w:rPr>
          <w:rFonts w:ascii="Courier New" w:cs="Courier New" w:eastAsia="Courier New" w:hAnsi="Courier New"/>
          <w:sz w:val="16"/>
          <w:szCs w:val="16"/>
          <w:color w:val="auto"/>
        </w:rPr>
        <w:t>RSA 363:17-b requires the PUC to issue a final order on all matters presented to it. RSA 365:26 provides that a Commission order is effective until it "shall be altered, amended, suspended, annulled, set aside or otherwise modified by the commission or the court." RSA 365:28 provides that</w:t>
      </w:r>
    </w:p>
    <w:p>
      <w:pPr>
        <w:spacing w:after="0" w:line="35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pacing w:after="0" w:line="383"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the Commission may "alter, amend, annul, set aside, or otherwise modify any order made by it" upon following appropriate procedures.</w:t>
      </w:r>
    </w:p>
    <w:p>
      <w:pPr>
        <w:spacing w:after="0" w:line="183"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The most recent PUC order addressing PSNH's authority under RSA 369:7 issued on July 31, 1984 by Order No. 17,139 in docket no. DF 84-164. 69 NH PUC 415, 417, 418, 420 (1984). At the time the petition was filed in Docket No. DF 84-164 PSNH had authority to borrow short term debt in the sum of $190,000,000 by Order No. 14,854 issued in Docket No. DF 81-76 (66 NH PUC 151). Historically the Commission had established a policy that generally allowed a short term debt limit to any utility of up to 10% of a utility's net fixed capital account rounded to the next higher $10,000. See e.g. Docket D-E3142, Re Public Utilities: Short Term Notes, Order No. 5968 33 NH PUC 218 (1951), and Order No. 7446, 42 NH PUC 40 (1960).</w:t>
      </w:r>
    </w:p>
    <w:p>
      <w:pPr>
        <w:spacing w:after="0" w:line="18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In docket no. DF 84-164, PSNH sought approval to add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$30,500,000 to its short term debt limit and to obtain approval to enter into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restructural agreements with its then creditors. The restructured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required PSNH to treat all creditors alike, carry the same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secure creditors with accounts receivable lease of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real estate to Consolidated Coal Co. and other items submitted therein. If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used its short term debt to cover all of the terms of the</w:t>
      </w:r>
    </w:p>
    <w:p>
      <w:pPr>
        <w:sectPr>
          <w:pgSz w:w="11900" w:h="16850" w:orient="portrait"/>
          <w:cols w:equalWidth="0" w:num="1">
            <w:col w:w="10219"/>
          </w:cols>
          <w:pgMar w:left="240" w:top="518" w:right="1440" w:bottom="0" w:gutter="0" w:footer="0" w:header="0"/>
        </w:sectPr>
      </w:pPr>
    </w:p>
    <w:bookmarkStart w:id="18" w:name="page19"/>
    <w:bookmarkEnd w:id="18"/>
    <w:p>
      <w:pPr>
        <w:ind w:right="3079"/>
        <w:spacing w:after="0" w:line="252" w:lineRule="auto"/>
        <w:rPr>
          <w:sz w:val="20"/>
          <w:szCs w:val="20"/>
          <w:color w:val="auto"/>
        </w:rPr>
      </w:pPr>
      <w:r>
        <w:rPr>
          <w:rFonts w:ascii="Courier New" w:cs="Courier New" w:eastAsia="Courier New" w:hAnsi="Courier New"/>
          <w:sz w:val="16"/>
          <w:szCs w:val="16"/>
          <w:color w:val="auto"/>
        </w:rPr>
        <w:t>restructured agreement, the Company would have incurred a short term debt level of $220,500,000.</w:t>
      </w:r>
    </w:p>
    <w:p>
      <w:pPr>
        <w:spacing w:after="0" w:line="183"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Order No. 17,135 issued in docket no. DF 84-168 stated in the section entitled "Commission Analysis" that the Commission's findings were based upon both the specific package of PSNH credit agreements before it and its analysis of each individual approval sought by the company. The Commission found that the authority that the Company was seeking to, among other things, increase the authorized level of short term debt, to be in the public good. ld., 69 NH PUC at 417. With regard to the short term debt, the Commission particularly found that the level of short term debt requested "is reasonable for PSNH given its size and its critical need for a modicum of financial flexibility." Id., 69 NH PUC at 418. The Commission order noted that the requests before it in that order had their roots in a liquidity crisis that the Company experienced in 1984. Id., 69 NH PUC at 417. The Commission has taken no action since the issuance of that order to modify the short term debt authority provided therein.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III. Motions for Rehearing</w:t>
      </w:r>
    </w:p>
    <w:p>
      <w:pPr>
        <w:spacing w:after="0" w:line="195"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The Consumer Advocate and CRR motions assert that the change in circumstances since the issuance of Order No. 17,139 requires the Commission to investigate the short term debt limit, citing Re Easton, 125 N.H. 106 (1984). The Commission notes that, as discussed above, when it set the short term debt limit for PSNH, PSNH faced financial difficulties. The amount of short term debt authorized was found appropriate considering PSNH's size and need for financial flexibility. Under the statutes discussed above, that authority is still good. The Commission has the discretionary authority to reconsider the order on PSNH's short term debt limit. However, the Consumer Advocate has not alleged any facts that convinces the Commission of a need to reconsider PSNH's outstanding authority to incur short term debt. In particular, PSNH's size and need for financial flexibility -- critical factors relied upon in developing PSNH's current authority -- does not seem changed despite the uncertainty over the operation of Seabrook. In addition,</w:t>
      </w:r>
    </w:p>
    <w:p>
      <w:pPr>
        <w:sectPr>
          <w:pgSz w:w="11900" w:h="16838" w:orient="portrait"/>
          <w:cols w:equalWidth="0" w:num="1">
            <w:col w:w="10219"/>
          </w:cols>
          <w:pgMar w:left="240" w:top="142" w:right="1440" w:bottom="1440" w:gutter="0" w:footer="0" w:header="0"/>
        </w:sectPr>
      </w:pPr>
    </w:p>
    <w:bookmarkStart w:id="19" w:name="page20"/>
    <w:bookmarkEnd w:id="19"/>
    <w:p>
      <w:pPr>
        <w:ind w:left="3620"/>
        <w:spacing w:after="0"/>
        <w:rPr>
          <w:sz w:val="20"/>
          <w:szCs w:val="20"/>
          <w:color w:val="auto"/>
        </w:rPr>
      </w:pPr>
      <w:r>
        <w:rPr>
          <w:rFonts w:ascii="Courier New" w:cs="Courier New" w:eastAsia="Courier New" w:hAnsi="Courier New"/>
          <w:sz w:val="16"/>
          <w:szCs w:val="16"/>
          <w:color w:val="auto"/>
        </w:rPr>
        <w:t>-3-</w:t>
      </w:r>
    </w:p>
    <w:p>
      <w:pPr>
        <w:spacing w:after="0" w:line="383" w:lineRule="exact"/>
        <w:rPr>
          <w:sz w:val="20"/>
          <w:szCs w:val="20"/>
          <w:color w:val="auto"/>
        </w:rPr>
      </w:pPr>
    </w:p>
    <w:p>
      <w:pPr>
        <w:ind w:right="2979"/>
        <w:spacing w:after="0" w:line="252" w:lineRule="auto"/>
        <w:rPr>
          <w:sz w:val="20"/>
          <w:szCs w:val="20"/>
          <w:color w:val="auto"/>
        </w:rPr>
      </w:pPr>
      <w:r>
        <w:rPr>
          <w:rFonts w:ascii="Courier New" w:cs="Courier New" w:eastAsia="Courier New" w:hAnsi="Courier New"/>
          <w:sz w:val="16"/>
          <w:szCs w:val="16"/>
          <w:color w:val="auto"/>
        </w:rPr>
        <w:t>Re Easton, supra, does not impose or even address, any requirement for the Commission to reconsider short term debt authorizations such as PSNH's.</w:t>
      </w:r>
    </w:p>
    <w:p>
      <w:pPr>
        <w:spacing w:after="0" w:line="183" w:lineRule="exact"/>
        <w:rPr>
          <w:sz w:val="20"/>
          <w:szCs w:val="20"/>
          <w:color w:val="auto"/>
        </w:rPr>
      </w:pPr>
    </w:p>
    <w:p>
      <w:pPr>
        <w:ind w:right="2799" w:firstLine="391"/>
        <w:spacing w:after="0" w:line="249" w:lineRule="auto"/>
        <w:rPr>
          <w:sz w:val="20"/>
          <w:szCs w:val="20"/>
          <w:color w:val="auto"/>
        </w:rPr>
      </w:pPr>
      <w:r>
        <w:rPr>
          <w:rFonts w:ascii="Courier New" w:cs="Courier New" w:eastAsia="Courier New" w:hAnsi="Courier New"/>
          <w:sz w:val="16"/>
          <w:szCs w:val="16"/>
          <w:color w:val="auto"/>
        </w:rPr>
        <w:t>The Consumer Advocate and CRR further allege that the Commission must investigate the PSNH plans under the requirements of RSA 369:7. Looking at that Statute, RSA 369:7 I. provides that the Commission may authorize issuance of short term debt by specific order or rules. RSA 369:7 II. particularly addresses the rulemaking option -- an option the Commission has not exercised. Thus, the relevant issue is whether RSA 369:7 I. imposes a duty to reexamine the PSNH short term debt authorization provided by Order No. 17,139.</w:t>
      </w:r>
    </w:p>
    <w:p>
      <w:pPr>
        <w:spacing w:after="0" w:line="187"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The Commission believes RSA 369:7 I. would require investigation of PSNH's issuance if the authority provided in 1984 was limited to a specific transaction. However, if the authority given was for a general short term debt limit not limited to any particular transaction, then the order providing authority for the debt limit still provides a short term debt limit that remains valid today. As is discussed above, the Commission's order authorized the debt limit in light of PSNH's size and need for financial flexibility. As was also discussed above, the Commission did not look at just the instant transaction, but at the specific authority requested. In addition, the specific terms of the Report and Order generally increase the short term debt limit authorized to be outstanding at any one time from 190,000,000 to 220,500,000. That authorization was not tied to or conditioned upon a specific transaction despite the power of the Commission to condition any such authorization. The amount of short term debt authorized also exceeds the dollar level of the transaction that the order discusses. Based upon all of the above factors, the Commission finds that the Commission set a generally allowed level of short term debt for PSNH by issuing its order. That order is still valid pursuant to RSA 365:26 and may not be changed without following the procedural requirements necessary to comply with RSA 365:28. That order continues to address the legal right, duty or privilege of PSNH to incur short term debt.</w:t>
      </w:r>
    </w:p>
    <w:p>
      <w:pPr>
        <w:spacing w:after="0" w:line="186"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The Consumer Advocate and CRR also assert that the Commission, by not investigating, fails to meet the requirements of Re Easton in protecting the public. The Commission does not agree. The Commission is investigating the Company's non-Seabrook long term financing consistent with Re Easton in docket no. DR 87-4. See Report and Order No. 18,626, Docket No. DR 87-4 (April 3, 1987) (72 NH PUC 157). The Commission shall investigate the long term Seabrook financing in docket no. DF 87-73 consistent with Re Easton. However, neither Re Easton nor any other legal requirement dictates that the Commission specifically investigate PSNH's short term debt limit at this time, for the outstanding order is valid as discussed, supra. The Commission further declines to exercise its discretion to specifically investigate that now. However, the Company's total financing picture -- and the part that short term financing plays in that picture -- will unquestionably be reviewed in the process of investigating the long term financings in docket nos. DF 87-4 and DF 87-73.</w:t>
      </w:r>
    </w:p>
    <w:p>
      <w:pPr>
        <w:spacing w:after="0" w:line="187" w:lineRule="exact"/>
        <w:rPr>
          <w:sz w:val="20"/>
          <w:szCs w:val="20"/>
          <w:color w:val="auto"/>
        </w:rPr>
      </w:pPr>
    </w:p>
    <w:p>
      <w:pPr>
        <w:ind w:right="2799" w:firstLine="391"/>
        <w:spacing w:after="0" w:line="249" w:lineRule="auto"/>
        <w:rPr>
          <w:sz w:val="20"/>
          <w:szCs w:val="20"/>
          <w:color w:val="auto"/>
        </w:rPr>
      </w:pPr>
      <w:r>
        <w:rPr>
          <w:rFonts w:ascii="Courier New" w:cs="Courier New" w:eastAsia="Courier New" w:hAnsi="Courier New"/>
          <w:sz w:val="16"/>
          <w:szCs w:val="16"/>
          <w:color w:val="auto"/>
        </w:rPr>
        <w:t>The Consumer Advocate attacks the authorization for PSNH's short term debt due to the refusal of former PUC Chairman McQuade to disqualify himself from the proceeding. The time for moving for rehearing and appeal of that 1984 order has long passed. The Order is thus valid pursuant to RSA 365:28.</w:t>
      </w:r>
    </w:p>
    <w:p>
      <w:pPr>
        <w:sectPr>
          <w:pgSz w:w="11900" w:h="16838" w:orient="portrait"/>
          <w:cols w:equalWidth="0" w:num="1">
            <w:col w:w="10219"/>
          </w:cols>
          <w:pgMar w:left="240" w:top="492" w:right="1440" w:bottom="1440" w:gutter="0" w:footer="0" w:header="0"/>
        </w:sectPr>
      </w:pPr>
    </w:p>
    <w:bookmarkStart w:id="20" w:name="page21"/>
    <w:bookmarkEnd w:id="20"/>
    <w:p>
      <w:pPr>
        <w:ind w:left="3620"/>
        <w:spacing w:after="0"/>
        <w:rPr>
          <w:sz w:val="20"/>
          <w:szCs w:val="20"/>
          <w:color w:val="auto"/>
        </w:rPr>
      </w:pPr>
      <w:r>
        <w:rPr>
          <w:rFonts w:ascii="Courier New" w:cs="Courier New" w:eastAsia="Courier New" w:hAnsi="Courier New"/>
          <w:sz w:val="16"/>
          <w:szCs w:val="16"/>
          <w:color w:val="auto"/>
        </w:rPr>
        <w:t>-4-</w:t>
      </w:r>
    </w:p>
    <w:p>
      <w:pPr>
        <w:spacing w:after="0" w:line="383"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Finally, the CRR Motion argues that allowing the outstanding PSNH authorization to continue in effect despite changing circumstances allows the order to operate as a rule. The Commission has addressed changing circumstances above and refers CRR to that discussion. With regard to the order operating as a rule, the Commission notes that the Order No. 17,139, supra, is an outstanding valid order addressing PSNH only from a proceeding that the Commission decided after a hearing. The order remains valid under RSA 365:28. The length of time that the order has been outstanding does not make it a rule. As the definition of rule quoted above indicates, a rule has general applicability. See also: Re Nationwide Insurance Co., 120 N.H. 90, 93, 94 (1983). The passage of time has not expanded the applicability of Order No. 17,139 to an action of general applicability. Thus, it cannot be considered a rule.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IV. Motion to Reopen Financing Dockets</w:t>
      </w:r>
    </w:p>
    <w:p>
      <w:pPr>
        <w:spacing w:after="0" w:line="195" w:lineRule="exact"/>
        <w:rPr>
          <w:sz w:val="20"/>
          <w:szCs w:val="20"/>
          <w:color w:val="auto"/>
        </w:rPr>
      </w:pPr>
    </w:p>
    <w:p>
      <w:pPr>
        <w:ind w:right="2799" w:firstLine="391"/>
        <w:spacing w:after="0" w:line="249" w:lineRule="auto"/>
        <w:rPr>
          <w:sz w:val="20"/>
          <w:szCs w:val="20"/>
          <w:color w:val="auto"/>
        </w:rPr>
      </w:pPr>
      <w:r>
        <w:rPr>
          <w:rFonts w:ascii="Courier New" w:cs="Courier New" w:eastAsia="Courier New" w:hAnsi="Courier New"/>
          <w:sz w:val="16"/>
          <w:szCs w:val="16"/>
          <w:color w:val="auto"/>
        </w:rPr>
        <w:t>The Consumer Advocate also requests that the Commission reopen the last two dockets under which PSNH received short term financing docket nos. DF 81-76 and DF 84-168. He bases this request upon the changed financial circumstances of PSNH and former PUC Chairman Paul McQuade's refusal to disqualify himself from docket DF 84-168. The Commission long ago issued final orders in those dockets. These grounds are identical to those of the Consumer Advocate's Motion for Rehearing. The Commission rejects these grounds as a basis for examining the PSNH short term debt authority based upon its discussion of the same grounds for the Motion for Rehearing above. Even if the grounds had merit, the Commission finds that actions on these long closed dockets with perhaps different participants and parties to be an inappropriate way to proceed. Thus, the Commission declines to take any action in these old dockets.</w:t>
      </w:r>
    </w:p>
    <w:p>
      <w:pPr>
        <w:spacing w:after="0" w:line="18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Our Order will issue accordingly.</w:t>
      </w:r>
    </w:p>
    <w:p>
      <w:pPr>
        <w:spacing w:after="0" w:line="383"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SUPPLEMENTAL ORDER</w:t>
      </w:r>
    </w:p>
    <w:p>
      <w:pPr>
        <w:spacing w:after="0" w:line="195" w:lineRule="exact"/>
        <w:rPr>
          <w:sz w:val="20"/>
          <w:szCs w:val="20"/>
          <w:color w:val="auto"/>
        </w:rPr>
      </w:pPr>
    </w:p>
    <w:p>
      <w:pPr>
        <w:ind w:right="2879" w:firstLine="391"/>
        <w:spacing w:after="0" w:line="250" w:lineRule="auto"/>
        <w:rPr>
          <w:sz w:val="20"/>
          <w:szCs w:val="20"/>
          <w:color w:val="auto"/>
        </w:rPr>
      </w:pPr>
      <w:r>
        <w:rPr>
          <w:rFonts w:ascii="Courier New" w:cs="Courier New" w:eastAsia="Courier New" w:hAnsi="Courier New"/>
          <w:sz w:val="16"/>
          <w:szCs w:val="16"/>
          <w:color w:val="auto"/>
        </w:rPr>
        <w:t>Based upon the foregoing Report Regarding Motions for Rehearing and Motion to Reopen Short Term Financing Dockets, which is incorporated herein by reference; the Commission</w:t>
      </w:r>
    </w:p>
    <w:p>
      <w:pPr>
        <w:spacing w:after="0" w:line="185" w:lineRule="exact"/>
        <w:rPr>
          <w:sz w:val="20"/>
          <w:szCs w:val="20"/>
          <w:color w:val="auto"/>
        </w:rPr>
      </w:pPr>
    </w:p>
    <w:p>
      <w:pPr>
        <w:ind w:right="2699" w:firstLine="391"/>
        <w:spacing w:after="0" w:line="252" w:lineRule="auto"/>
        <w:rPr>
          <w:sz w:val="20"/>
          <w:szCs w:val="20"/>
          <w:color w:val="auto"/>
        </w:rPr>
      </w:pPr>
      <w:r>
        <w:rPr>
          <w:rFonts w:ascii="Courier New" w:cs="Courier New" w:eastAsia="Courier New" w:hAnsi="Courier New"/>
          <w:sz w:val="16"/>
          <w:szCs w:val="16"/>
          <w:color w:val="auto"/>
        </w:rPr>
        <w:t>ORDERS, that the Consumer Advocate's Motion to Rehearing Report and Order No. 18,661 (72 NH PUC 162) is denied; and it is</w:t>
      </w:r>
    </w:p>
    <w:p>
      <w:pPr>
        <w:spacing w:after="0" w:line="183" w:lineRule="exact"/>
        <w:rPr>
          <w:sz w:val="20"/>
          <w:szCs w:val="20"/>
          <w:color w:val="auto"/>
        </w:rPr>
      </w:pPr>
    </w:p>
    <w:p>
      <w:pPr>
        <w:ind w:right="2699" w:firstLine="391"/>
        <w:spacing w:after="0" w:line="252" w:lineRule="auto"/>
        <w:rPr>
          <w:sz w:val="20"/>
          <w:szCs w:val="20"/>
          <w:color w:val="auto"/>
        </w:rPr>
      </w:pPr>
      <w:r>
        <w:rPr>
          <w:rFonts w:ascii="Courier New" w:cs="Courier New" w:eastAsia="Courier New" w:hAnsi="Courier New"/>
          <w:sz w:val="16"/>
          <w:szCs w:val="16"/>
          <w:color w:val="auto"/>
        </w:rPr>
        <w:t>FURTHER ORDERED, that the Campaign for Ratepayers Rights Motion to Rehear Report and Order No. 18,661 is denied; and it is</w:t>
      </w:r>
    </w:p>
    <w:p>
      <w:pPr>
        <w:spacing w:after="0" w:line="183" w:lineRule="exact"/>
        <w:rPr>
          <w:sz w:val="20"/>
          <w:szCs w:val="20"/>
          <w:color w:val="auto"/>
        </w:rPr>
      </w:pPr>
    </w:p>
    <w:p>
      <w:pPr>
        <w:ind w:right="2979" w:firstLine="391"/>
        <w:spacing w:after="0" w:line="252" w:lineRule="auto"/>
        <w:rPr>
          <w:sz w:val="20"/>
          <w:szCs w:val="20"/>
          <w:color w:val="auto"/>
        </w:rPr>
      </w:pPr>
      <w:r>
        <w:rPr>
          <w:rFonts w:ascii="Courier New" w:cs="Courier New" w:eastAsia="Courier New" w:hAnsi="Courier New"/>
          <w:sz w:val="16"/>
          <w:szCs w:val="16"/>
          <w:color w:val="auto"/>
        </w:rPr>
        <w:t>FURTHER ORDERED, that the Commission declines to take any action in or reopen dockets DF 81-76 and DF 84-168.</w:t>
      </w:r>
    </w:p>
    <w:p>
      <w:pPr>
        <w:spacing w:after="0" w:line="183" w:lineRule="exact"/>
        <w:rPr>
          <w:sz w:val="20"/>
          <w:szCs w:val="20"/>
          <w:color w:val="auto"/>
        </w:rPr>
      </w:pPr>
    </w:p>
    <w:p>
      <w:pPr>
        <w:ind w:right="3479" w:firstLine="391"/>
        <w:spacing w:after="0" w:line="252" w:lineRule="auto"/>
        <w:rPr>
          <w:sz w:val="20"/>
          <w:szCs w:val="20"/>
          <w:color w:val="auto"/>
        </w:rPr>
      </w:pPr>
      <w:r>
        <w:rPr>
          <w:rFonts w:ascii="Courier New" w:cs="Courier New" w:eastAsia="Courier New" w:hAnsi="Courier New"/>
          <w:sz w:val="16"/>
          <w:szCs w:val="16"/>
          <w:color w:val="auto"/>
        </w:rPr>
        <w:t>By order of the Public Utilities Commission of New Hampshire this twenty-eighth day of May, 1987.</w:t>
      </w:r>
    </w:p>
    <w:p>
      <w:pPr>
        <w:spacing w:after="0" w:line="183"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Dissenting Opinion of Commissioner Aeschliman</w:t>
      </w:r>
    </w:p>
    <w:p>
      <w:pPr>
        <w:spacing w:after="0" w:line="195" w:lineRule="exact"/>
        <w:rPr>
          <w:sz w:val="20"/>
          <w:szCs w:val="20"/>
          <w:color w:val="auto"/>
        </w:rPr>
      </w:pPr>
    </w:p>
    <w:p>
      <w:pPr>
        <w:ind w:right="2799" w:firstLine="391"/>
        <w:spacing w:after="0" w:line="249" w:lineRule="auto"/>
        <w:rPr>
          <w:sz w:val="20"/>
          <w:szCs w:val="20"/>
          <w:color w:val="auto"/>
        </w:rPr>
      </w:pPr>
      <w:r>
        <w:rPr>
          <w:rFonts w:ascii="Courier New" w:cs="Courier New" w:eastAsia="Courier New" w:hAnsi="Courier New"/>
          <w:sz w:val="16"/>
          <w:szCs w:val="16"/>
          <w:color w:val="auto"/>
        </w:rPr>
        <w:t>I would grant the Motions for Rehearing of the Consumer Advocate and the Campaign for Ratepayers Rights based upon the reasoning in my dissenting opinion issued on May 6, 1987 from the Commission's Report and Order No. 18,661.</w:t>
      </w:r>
    </w:p>
    <w:p>
      <w:pPr>
        <w:sectPr>
          <w:pgSz w:w="11900" w:h="16838" w:orient="portrait"/>
          <w:cols w:equalWidth="0" w:num="1">
            <w:col w:w="10219"/>
          </w:cols>
          <w:pgMar w:left="240" w:top="492" w:right="1440" w:bottom="1440" w:gutter="0" w:footer="0" w:header="0"/>
        </w:sectPr>
      </w:pPr>
    </w:p>
    <w:bookmarkStart w:id="21" w:name="page22"/>
    <w:bookmarkEnd w:id="21"/>
    <w:p>
      <w:pPr>
        <w:ind w:left="362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71"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At a minimum, the Commission, in the exercise of its discretion, should be reviewing the entirety of the Company's financing plans at this time due to the current circumstances of the Company. In addition, the authorization for financing provided by Order No. 17,139, July 1984 (69 NH PUC 415) involved a set of circumstances which is very different from those facing the Commission today. Thus, both reasonable discretionary Commission action and a reasonable reading of the Commission's Order No. 17,139 dictate the same result -- that an investigation of the Company's short term financing plans is appropriate. The fact that the Company has completed a short term financing subsequent to the Commission's Order of May 6 does not render this issue moot. The Commission is informed that the financing totaled $100 million and the financing authority in question totals $220 million.</w:t>
      </w:r>
    </w:p>
    <w:p>
      <w:pPr>
        <w:spacing w:after="0" w:line="187"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As I indicated in my prior dissent, I believe the appropriate action is to investigate the short term financing plans and authority in conjunction with the long term financing request in docket DF 87-4. This course of action would enable the Commission to approve short-term financing sufficient to maintain the Company's solvency during the proceeding if evidence relative to the Company's cash situation warranted such approval.</w:t>
      </w:r>
    </w:p>
    <w:p>
      <w:pPr>
        <w:spacing w:after="0" w:line="187" w:lineRule="exact"/>
        <w:rPr>
          <w:sz w:val="20"/>
          <w:szCs w:val="20"/>
          <w:color w:val="auto"/>
        </w:rPr>
      </w:pPr>
    </w:p>
    <w:p>
      <w:pPr>
        <w:ind w:right="2799" w:firstLine="391"/>
        <w:spacing w:after="0" w:line="249" w:lineRule="auto"/>
        <w:rPr>
          <w:sz w:val="20"/>
          <w:szCs w:val="20"/>
          <w:color w:val="auto"/>
        </w:rPr>
      </w:pPr>
      <w:r>
        <w:rPr>
          <w:rFonts w:ascii="Courier New" w:cs="Courier New" w:eastAsia="Courier New" w:hAnsi="Courier New"/>
          <w:sz w:val="16"/>
          <w:szCs w:val="16"/>
          <w:color w:val="auto"/>
        </w:rPr>
        <w:t>To the extent that the Consumer Advocate and the Campaign for Ratepayers Rights are asserting that an Easton review must be completed before any financing can be approved, I would disagree with their position. The Court has clearly indicated that financing can be approved pending an appropriate Easton review when the continued existence of the Company is immediately threatened. Re Seacoast Anti-Pollution League, 125 N.H. 465, 475, 482, A.2d 509 (1984) and Re Seacoast Anti-Pollution League, 125 N.H. 708, 714, 482, A.2d 1196 (1984). Under such circumstances the Court affirmed approval of long term debt. Clearly short term debt authorization under such circumstances would be appropriate.</w:t>
      </w:r>
    </w:p>
    <w:p>
      <w:pPr>
        <w:spacing w:after="0" w:line="187" w:lineRule="exact"/>
        <w:rPr>
          <w:sz w:val="20"/>
          <w:szCs w:val="20"/>
          <w:color w:val="auto"/>
        </w:rPr>
      </w:pPr>
    </w:p>
    <w:p>
      <w:pPr>
        <w:ind w:right="2799" w:firstLine="391"/>
        <w:spacing w:after="0" w:line="249" w:lineRule="auto"/>
        <w:rPr>
          <w:sz w:val="20"/>
          <w:szCs w:val="20"/>
          <w:color w:val="auto"/>
        </w:rPr>
      </w:pPr>
      <w:r>
        <w:rPr>
          <w:rFonts w:ascii="Courier New" w:cs="Courier New" w:eastAsia="Courier New" w:hAnsi="Courier New"/>
          <w:sz w:val="16"/>
          <w:szCs w:val="16"/>
          <w:color w:val="auto"/>
        </w:rPr>
        <w:t>If the Commission had held a hearing to review the cash situation of the Company and had authorized short term financing based upon findings that the cash situation of the Company required prompt action pending an appropriate Easton review I would have concurred. I can not agree that authorization for $220 million in short term debt and authorization of $220 million in long term debt are routine matters given the financial condition of the Company.</w:t>
      </w:r>
    </w:p>
    <w:p>
      <w:pPr>
        <w:spacing w:after="0" w:line="37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FOOTNOTES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[FN]</w:t>
      </w:r>
    </w:p>
    <w:p>
      <w:pPr>
        <w:spacing w:after="0" w:line="7" w:lineRule="exact"/>
        <w:rPr>
          <w:sz w:val="20"/>
          <w:szCs w:val="20"/>
          <w:color w:val="auto"/>
        </w:rPr>
      </w:pPr>
    </w:p>
    <w:p>
      <w:pPr>
        <w:ind w:right="2799" w:firstLine="98"/>
        <w:spacing w:after="0" w:line="250" w:lineRule="auto"/>
        <w:rPr>
          <w:sz w:val="20"/>
          <w:szCs w:val="20"/>
          <w:color w:val="auto"/>
        </w:rPr>
      </w:pPr>
      <w:r>
        <w:rPr>
          <w:rFonts w:ascii="Courier New" w:cs="Courier New" w:eastAsia="Courier New" w:hAnsi="Courier New"/>
          <w:sz w:val="16"/>
          <w:szCs w:val="16"/>
          <w:color w:val="auto"/>
        </w:rPr>
        <w:t>The Commission may impose reasonable conditions upon authorizations of financings. See Re Public Service Co. of New Hampshire, 122 N.H. 1062, 1072, 51 PUR4th 298, 454 A.2d 435 (1982).</w:t>
      </w:r>
    </w:p>
    <w:p>
      <w:pPr>
        <w:spacing w:after="0" w:line="185" w:lineRule="exact"/>
        <w:rPr>
          <w:sz w:val="20"/>
          <w:szCs w:val="20"/>
          <w:color w:val="auto"/>
        </w:rPr>
      </w:pPr>
    </w:p>
    <w:p>
      <w:pPr>
        <w:ind w:right="3179" w:firstLine="98"/>
        <w:spacing w:after="0" w:line="250" w:lineRule="auto"/>
        <w:rPr>
          <w:sz w:val="20"/>
          <w:szCs w:val="20"/>
          <w:color w:val="auto"/>
        </w:rPr>
      </w:pPr>
      <w:r>
        <w:rPr>
          <w:rFonts w:ascii="Courier New" w:cs="Courier New" w:eastAsia="Courier New" w:hAnsi="Courier New"/>
          <w:sz w:val="16"/>
          <w:szCs w:val="16"/>
          <w:color w:val="auto"/>
        </w:rPr>
        <w:t>The CRR Motion also argues that the PSNH authority was based upon a specific transaction. Thus, the above discussion also addresses that CRR argument.</w:t>
      </w:r>
    </w:p>
    <w:p>
      <w:pPr>
        <w:sectPr>
          <w:pgSz w:w="11900" w:h="16838" w:orient="portrait"/>
          <w:cols w:equalWidth="0" w:num="1">
            <w:col w:w="10219"/>
          </w:cols>
          <w:pgMar w:left="240" w:top="492" w:right="1440" w:bottom="1440" w:gutter="0" w:footer="0" w:header="0"/>
        </w:sectPr>
      </w:pPr>
    </w:p>
    <w:bookmarkStart w:id="22" w:name="page23"/>
    <w:bookmarkEnd w:id="22"/>
    <w:p>
      <w:pPr>
        <w:spacing w:after="0" w:line="21"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Exhibit F</w:t>
      </w:r>
    </w:p>
    <w:p>
      <w:pPr>
        <w:spacing w:after="0" w:line="200" w:lineRule="exact"/>
        <w:rPr>
          <w:sz w:val="20"/>
          <w:szCs w:val="20"/>
          <w:color w:val="auto"/>
        </w:rPr>
      </w:pPr>
    </w:p>
    <w:p>
      <w:pPr>
        <w:spacing w:after="0" w:line="37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OPINION OF DAY, BERRY &amp; HOWARD,</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COUNSEL FOR APPLICANTS</w:t>
      </w:r>
    </w:p>
    <w:p>
      <w:pPr>
        <w:spacing w:after="0" w:line="383"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December 8, 1994</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450 Fifth Street, N.W.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Judiciary Plaza</w:t>
      </w:r>
    </w:p>
    <w:p>
      <w:pPr>
        <w:spacing w:after="0" w:line="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Washington, D.C.</w:t>
        <w:tab/>
        <w:t>20549</w:t>
      </w:r>
    </w:p>
    <w:p>
      <w:pPr>
        <w:spacing w:after="0" w:line="195" w:lineRule="exact"/>
        <w:rPr>
          <w:sz w:val="20"/>
          <w:szCs w:val="20"/>
          <w:color w:val="auto"/>
        </w:rPr>
      </w:pPr>
    </w:p>
    <w:p>
      <w:pPr>
        <w:ind w:left="480"/>
        <w:spacing w:after="0"/>
        <w:tabs>
          <w:tab w:leader="none" w:pos="960" w:val="left"/>
        </w:tabs>
        <w:rPr>
          <w:sz w:val="20"/>
          <w:szCs w:val="20"/>
          <w:color w:val="auto"/>
        </w:rPr>
      </w:pPr>
      <w:r>
        <w:rPr>
          <w:rFonts w:ascii="Courier New" w:cs="Courier New" w:eastAsia="Courier New" w:hAnsi="Courier New"/>
          <w:sz w:val="16"/>
          <w:szCs w:val="16"/>
          <w:color w:val="auto"/>
        </w:rPr>
        <w:t>Re:</w:t>
        <w:tab/>
        <w:t>Northeast Utilities</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The Connecticut Light and Power Company</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Western Massachusetts Electric Company</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Holyoke Water Power Company</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Northeast Nuclear Energy Company</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The Quinnehtuk Company</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The Rocky River Realty Company</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Public Service Company of New Hampshire</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North Atlantic Energy Corporation</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HEC Inc.</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File No. 70-8479</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We have acted as counsel to Northeast Utilities ("NU"), The Connecticut Light and Power Company ("CL&amp;P"), Western Massachusetts Electric Company ("WMECO"), Holyoke Water Power Company ("HWP"), Northeast Nuclear Energy Company ("NNECO"), The Quinnehtuk Company ("Quinnehtuk"), The Rocky River Realty Company ("RRR"), Public Service Company of New Hampshire ("PSNH"), North Atlantic Energy Corporation ("NAEC") and HEC Inc. ("HEC") in connection with those transactions contemplated by their application/declaration in the above referenced file (the "Application"). This opinion is given to you with respect to such transactions pursuant to your Instructions as to Exhibits to applications and declarations filed on Form U-1. Except as otherwise defined herein, terms used herein shall have the meanings given them in the Application.</w:t>
      </w:r>
    </w:p>
    <w:p>
      <w:pPr>
        <w:spacing w:after="0" w:line="187"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We have examined such documents, corporate records and other instruments as we have deemed necessary or advisable for the purposes of this opinion. We have assumed the authenticity of all documents submitted to us as originals, the genuineness of all signatures, the legal capacity of natural persons and the conformity to originals of documents submitted to us as copies.</w:t>
      </w:r>
    </w:p>
    <w:p>
      <w:pPr>
        <w:spacing w:after="0" w:line="37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The opinions set forth herein are qualified in their entirety as follows: (a) every opinion rendered herein is expressly subject to the consummation of such transactions in accordance with the Application using documents substantially similar to those filed with the Application, (b) no opinion is expressed as to any laws other than the federal laws of the United States and the laws of the States of Connecticut and New Hampshire and of the Commonwealth of Massachusetts; (c) to the extent any opinion is expressed as to the laws of the State of New Hampshire, such is based solely upon the opinion of Robert A. Bersak, Assistant Secretary and Assistant General Counsel for PSNH, dated the date hereof, and we express no opinion as to such</w:t>
      </w:r>
    </w:p>
    <w:p>
      <w:pPr>
        <w:spacing w:after="0" w:line="35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pacing w:after="0" w:line="383" w:lineRule="exact"/>
        <w:rPr>
          <w:sz w:val="20"/>
          <w:szCs w:val="20"/>
          <w:color w:val="auto"/>
        </w:rPr>
      </w:pPr>
    </w:p>
    <w:p>
      <w:pPr>
        <w:ind w:right="2699"/>
        <w:spacing w:after="0" w:line="248" w:lineRule="auto"/>
        <w:rPr>
          <w:sz w:val="20"/>
          <w:szCs w:val="20"/>
          <w:color w:val="auto"/>
        </w:rPr>
      </w:pPr>
      <w:r>
        <w:rPr>
          <w:rFonts w:ascii="Courier New" w:cs="Courier New" w:eastAsia="Courier New" w:hAnsi="Courier New"/>
          <w:sz w:val="16"/>
          <w:szCs w:val="16"/>
          <w:color w:val="auto"/>
        </w:rPr>
        <w:t>matters except to the extent covered by such opinion and subject to the qualifications and assumptions contained in such opinion; (d) the opinions expressed in paragraph 5 are based solely upon the opinion of Jeffrey C. Miller, Assistant General Counsel for Northeast Utilities Service Company, dated the date hereof, and we express no opinion as to such matters except to the extent covered by such opinion and subject to the qualifications and assumptions contained in such opinion; (e) insofar as any opinion relates to the Declaration of Trust of NU or the Certificate of Incorporation or Bylaws of any other Applicant, we have assumed that that Declaration of Trust and that Certificate and those Bylaws will not be amended between now and the time the transactions contemplated by the Application are consummated; and</w:t>
      </w:r>
    </w:p>
    <w:p>
      <w:pPr>
        <w:spacing w:after="0" w:line="7" w:lineRule="exact"/>
        <w:rPr>
          <w:sz w:val="20"/>
          <w:szCs w:val="20"/>
          <w:color w:val="auto"/>
        </w:rPr>
      </w:pPr>
    </w:p>
    <w:p>
      <w:pPr>
        <w:ind w:left="480" w:right="3279" w:hanging="480"/>
        <w:spacing w:after="0" w:line="497" w:lineRule="auto"/>
        <w:tabs>
          <w:tab w:leader="none" w:pos="3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opinion is expressed as to the securities laws of any state. Based on and subject to the foregoing, we are of the opinion that:</w:t>
      </w:r>
    </w:p>
    <w:p>
      <w:pPr>
        <w:spacing w:after="0" w:line="1" w:lineRule="exact"/>
        <w:rPr>
          <w:rFonts w:ascii="Courier New" w:cs="Courier New" w:eastAsia="Courier New" w:hAnsi="Courier New"/>
          <w:sz w:val="16"/>
          <w:szCs w:val="16"/>
          <w:color w:val="auto"/>
        </w:rPr>
      </w:pPr>
    </w:p>
    <w:p>
      <w:pPr>
        <w:ind w:right="2979" w:firstLine="489"/>
        <w:spacing w:after="0" w:line="252" w:lineRule="auto"/>
        <w:tabs>
          <w:tab w:leader="none" w:pos="977"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state laws applicable to the proposed transactions will have been complied with.</w:t>
      </w:r>
    </w:p>
    <w:p>
      <w:pPr>
        <w:spacing w:after="0" w:line="183" w:lineRule="exact"/>
        <w:rPr>
          <w:rFonts w:ascii="Courier New" w:cs="Courier New" w:eastAsia="Courier New" w:hAnsi="Courier New"/>
          <w:sz w:val="16"/>
          <w:szCs w:val="16"/>
          <w:color w:val="auto"/>
        </w:rPr>
      </w:pPr>
    </w:p>
    <w:p>
      <w:pPr>
        <w:ind w:right="2879" w:firstLine="489"/>
        <w:spacing w:after="0" w:line="250" w:lineRule="auto"/>
        <w:tabs>
          <w:tab w:leader="none" w:pos="977"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 WMECO, HWP, Quinnehtuk and HEC is each validly organized and duly existing under the laws of the Commonwealth of Massachusetts; CL&amp;P, NNECO and RRR is each validly organized and duly existing under the laws of</w:t>
      </w:r>
    </w:p>
    <w:p>
      <w:pPr>
        <w:sectPr>
          <w:pgSz w:w="11900" w:h="16859" w:orient="portrait"/>
          <w:cols w:equalWidth="0" w:num="1">
            <w:col w:w="10219"/>
          </w:cols>
          <w:pgMar w:left="240" w:top="518" w:right="1440" w:bottom="0" w:gutter="0" w:footer="0" w:header="0"/>
        </w:sectPr>
      </w:pPr>
    </w:p>
    <w:bookmarkStart w:id="23" w:name="page24"/>
    <w:bookmarkEnd w:id="23"/>
    <w:p>
      <w:pPr>
        <w:ind w:right="3079"/>
        <w:spacing w:after="0" w:line="252" w:lineRule="auto"/>
        <w:rPr>
          <w:sz w:val="20"/>
          <w:szCs w:val="20"/>
          <w:color w:val="auto"/>
        </w:rPr>
      </w:pPr>
      <w:r>
        <w:rPr>
          <w:rFonts w:ascii="Courier New" w:cs="Courier New" w:eastAsia="Courier New" w:hAnsi="Courier New"/>
          <w:sz w:val="16"/>
          <w:szCs w:val="16"/>
          <w:color w:val="auto"/>
        </w:rPr>
        <w:t>the State of Connecticut; and PSNH and NAEC is each validly organized and duly existing under the laws of the State of New Hampshire.</w:t>
      </w:r>
    </w:p>
    <w:p>
      <w:pPr>
        <w:spacing w:after="0" w:line="183" w:lineRule="exact"/>
        <w:rPr>
          <w:sz w:val="20"/>
          <w:szCs w:val="20"/>
          <w:color w:val="auto"/>
        </w:rPr>
      </w:pPr>
    </w:p>
    <w:p>
      <w:pPr>
        <w:ind w:right="2799" w:firstLine="489"/>
        <w:spacing w:after="0" w:line="249" w:lineRule="auto"/>
        <w:tabs>
          <w:tab w:leader="none" w:pos="97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to be issued to banks and non-bank lending institutions by NU, CL&amp;P, WMECO, PSNH, HWP, NNECO and RRR, the commercial paper to be issued by NU, CL&amp;P and WMECO, and the obligations to be issued on behalf of CL&amp;P, WMECO, PSNH, HWP, NNECO, NAEC, Quinnehtuk, RRR and HEC through the Northeast Utilities System Money Pool pursuant to the terms of such Money Pool when issued, sold or renewed, will be the valid and binding obligations of such Applicants in accordance with their respective terms.</w:t>
      </w:r>
    </w:p>
    <w:p>
      <w:pPr>
        <w:spacing w:after="0" w:line="187" w:lineRule="exact"/>
        <w:rPr>
          <w:rFonts w:ascii="Courier New" w:cs="Courier New" w:eastAsia="Courier New" w:hAnsi="Courier New"/>
          <w:sz w:val="16"/>
          <w:szCs w:val="16"/>
          <w:color w:val="auto"/>
        </w:rPr>
      </w:pPr>
    </w:p>
    <w:p>
      <w:pPr>
        <w:ind w:right="2699" w:firstLine="489"/>
        <w:spacing w:after="0" w:line="250" w:lineRule="auto"/>
        <w:tabs>
          <w:tab w:leader="none" w:pos="97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Applicant participating in the Money Pool will legally acquire the appropriate interest in any obligation to be acquired by it from any other member of the Money Pool pursuant to the terms of such Money Pool.</w:t>
      </w:r>
    </w:p>
    <w:p>
      <w:pPr>
        <w:spacing w:after="0" w:line="185" w:lineRule="exact"/>
        <w:rPr>
          <w:rFonts w:ascii="Courier New" w:cs="Courier New" w:eastAsia="Courier New" w:hAnsi="Courier New"/>
          <w:sz w:val="16"/>
          <w:szCs w:val="16"/>
          <w:color w:val="auto"/>
        </w:rPr>
      </w:pPr>
    </w:p>
    <w:p>
      <w:pPr>
        <w:ind w:right="2699" w:firstLine="489"/>
        <w:spacing w:after="0" w:line="250" w:lineRule="auto"/>
        <w:tabs>
          <w:tab w:leader="none" w:pos="97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the proposed transactions will not violate the legal rights of the holders of any securities issued by any of the Applicants or any associate company of such Applicants.</w:t>
      </w:r>
    </w:p>
    <w:p>
      <w:pPr>
        <w:spacing w:after="0" w:line="185" w:lineRule="exact"/>
        <w:rPr>
          <w:sz w:val="20"/>
          <w:szCs w:val="20"/>
          <w:color w:val="auto"/>
        </w:rPr>
      </w:pPr>
    </w:p>
    <w:p>
      <w:pPr>
        <w:jc w:val="both"/>
        <w:ind w:right="2979" w:firstLine="489"/>
        <w:spacing w:after="0" w:line="249" w:lineRule="auto"/>
        <w:rPr>
          <w:sz w:val="20"/>
          <w:szCs w:val="20"/>
          <w:color w:val="auto"/>
        </w:rPr>
      </w:pPr>
      <w:r>
        <w:rPr>
          <w:rFonts w:ascii="Courier New" w:cs="Courier New" w:eastAsia="Courier New" w:hAnsi="Courier New"/>
          <w:sz w:val="16"/>
          <w:szCs w:val="16"/>
          <w:color w:val="auto"/>
        </w:rPr>
        <w:t>We note that the Massachusetts Department of Public Utilities has not approved loans from WMECO to PSNH, NAEC or HEC, so until such approval has been given, PSNH, NAEC and HEC may not borrow through the Money Pool from funds contributed to the Money Pool by WMECO.</w:t>
      </w:r>
    </w:p>
    <w:p>
      <w:pPr>
        <w:spacing w:after="0" w:line="188" w:lineRule="exact"/>
        <w:rPr>
          <w:sz w:val="20"/>
          <w:szCs w:val="20"/>
          <w:color w:val="auto"/>
        </w:rPr>
      </w:pPr>
    </w:p>
    <w:p>
      <w:pPr>
        <w:ind w:right="2879" w:firstLine="489"/>
        <w:spacing w:after="0" w:line="252" w:lineRule="auto"/>
        <w:rPr>
          <w:sz w:val="20"/>
          <w:szCs w:val="20"/>
          <w:color w:val="auto"/>
        </w:rPr>
      </w:pPr>
      <w:r>
        <w:rPr>
          <w:rFonts w:ascii="Courier New" w:cs="Courier New" w:eastAsia="Courier New" w:hAnsi="Courier New"/>
          <w:sz w:val="16"/>
          <w:szCs w:val="16"/>
          <w:color w:val="auto"/>
        </w:rPr>
        <w:t>This opinion may be relied on by the Commission in connection with the preparation of its decision in this matter.</w:t>
      </w:r>
    </w:p>
    <w:p>
      <w:pPr>
        <w:spacing w:after="0" w:line="18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71"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/s/ Day, Berry &amp; Howard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CDB:PNB</w:t>
      </w:r>
    </w:p>
    <w:p>
      <w:pPr>
        <w:sectPr>
          <w:pgSz w:w="11900" w:h="16838" w:orient="portrait"/>
          <w:cols w:equalWidth="0" w:num="1">
            <w:col w:w="10219"/>
          </w:cols>
          <w:pgMar w:left="240" w:top="14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WARNING: THE EDGAR SYSTEM ENCOUNTERED ERROR(S) WHILE PROCESSING THIS SCHEDULE.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OPUR1</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w:t>
      </w:r>
    </w:p>
    <w:p>
      <w:pPr>
        <w:spacing w:after="0" w:line="383"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2160" w:type="dxa"/>
            <w:vAlign w:val="bottom"/>
          </w:tcPr>
          <w:p>
            <w:pPr>
              <w:jc w:val="right"/>
              <w:ind w:right="1199"/>
              <w:spacing w:after="0"/>
              <w:rPr>
                <w:sz w:val="20"/>
                <w:szCs w:val="20"/>
                <w:color w:val="auto"/>
              </w:rPr>
            </w:pPr>
            <w:r>
              <w:rPr>
                <w:rFonts w:ascii="Courier New" w:cs="Courier New" w:eastAsia="Courier New" w:hAnsi="Courier New"/>
                <w:sz w:val="16"/>
                <w:szCs w:val="16"/>
                <w:color w:val="auto"/>
              </w:rPr>
              <w:t>12-MOS</w:t>
            </w:r>
          </w:p>
        </w:tc>
        <w:tc>
          <w:tcPr>
            <w:tcW w:w="480" w:type="dxa"/>
            <w:vAlign w:val="bottom"/>
          </w:tcPr>
          <w:p>
            <w:pPr>
              <w:spacing w:after="0"/>
              <w:rPr>
                <w:sz w:val="15"/>
                <w:szCs w:val="15"/>
                <w:color w:val="auto"/>
              </w:rPr>
            </w:pPr>
          </w:p>
        </w:tc>
        <w:tc>
          <w:tcPr>
            <w:tcW w:w="186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12-MOS</w:t>
            </w:r>
          </w:p>
        </w:tc>
        <w:tc>
          <w:tcPr>
            <w:tcW w:w="880" w:type="dxa"/>
            <w:vAlign w:val="bottom"/>
          </w:tcPr>
          <w:p>
            <w:pPr>
              <w:spacing w:after="0"/>
              <w:rPr>
                <w:sz w:val="15"/>
                <w:szCs w:val="15"/>
                <w:color w:val="auto"/>
              </w:rPr>
            </w:pPr>
          </w:p>
        </w:tc>
      </w:tr>
      <w:tr>
        <w:trPr>
          <w:trHeight w:val="188"/>
        </w:trPr>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DEC-31-1994</w:t>
            </w:r>
          </w:p>
        </w:tc>
        <w:tc>
          <w:tcPr>
            <w:tcW w:w="4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DEC-31-1994</w:t>
            </w:r>
          </w:p>
        </w:tc>
        <w:tc>
          <w:tcPr>
            <w:tcW w:w="880" w:type="dxa"/>
            <w:vAlign w:val="bottom"/>
          </w:tcPr>
          <w:p>
            <w:pPr>
              <w:spacing w:after="0"/>
              <w:rPr>
                <w:sz w:val="16"/>
                <w:szCs w:val="16"/>
                <w:color w:val="auto"/>
              </w:rPr>
            </w:pPr>
          </w:p>
        </w:tc>
      </w:tr>
      <w:tr>
        <w:trPr>
          <w:trHeight w:val="188"/>
        </w:trPr>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JUN-30-1994</w:t>
            </w:r>
          </w:p>
        </w:tc>
        <w:tc>
          <w:tcPr>
            <w:tcW w:w="2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JUN-30-1994</w:t>
            </w:r>
          </w:p>
        </w:tc>
      </w:tr>
      <w:tr>
        <w:trPr>
          <w:trHeight w:val="188"/>
        </w:trPr>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PER-BOOK</w:t>
            </w:r>
          </w:p>
        </w:tc>
        <w:tc>
          <w:tcPr>
            <w:tcW w:w="2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PRO-FORMA</w:t>
            </w:r>
          </w:p>
        </w:tc>
      </w:tr>
      <w:tr>
        <w:trPr>
          <w:trHeight w:val="188"/>
        </w:trPr>
        <w:tc>
          <w:tcPr>
            <w:tcW w:w="21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0</w:t>
            </w:r>
          </w:p>
        </w:tc>
        <w:tc>
          <w:tcPr>
            <w:tcW w:w="480" w:type="dxa"/>
            <w:vAlign w:val="bottom"/>
          </w:tcPr>
          <w:p>
            <w:pPr>
              <w:spacing w:after="0"/>
              <w:rPr>
                <w:sz w:val="16"/>
                <w:szCs w:val="16"/>
                <w:color w:val="auto"/>
              </w:rPr>
            </w:pPr>
          </w:p>
        </w:tc>
        <w:tc>
          <w:tcPr>
            <w:tcW w:w="18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2,610,003</w:t>
            </w:r>
          </w:p>
        </w:tc>
        <w:tc>
          <w:tcPr>
            <w:tcW w:w="48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2,590,950</w:t>
            </w:r>
          </w:p>
        </w:tc>
        <w:tc>
          <w:tcPr>
            <w:tcW w:w="880" w:type="dxa"/>
            <w:vAlign w:val="bottom"/>
          </w:tcPr>
          <w:p>
            <w:pPr>
              <w:spacing w:after="0"/>
              <w:rPr>
                <w:sz w:val="16"/>
                <w:szCs w:val="16"/>
                <w:color w:val="auto"/>
              </w:rPr>
            </w:pPr>
          </w:p>
        </w:tc>
      </w:tr>
      <w:tr>
        <w:trPr>
          <w:trHeight w:val="188"/>
        </w:trPr>
        <w:tc>
          <w:tcPr>
            <w:tcW w:w="2160" w:type="dxa"/>
            <w:vAlign w:val="bottom"/>
          </w:tcPr>
          <w:p>
            <w:pPr>
              <w:ind w:left="1180"/>
              <w:spacing w:after="0"/>
              <w:rPr>
                <w:sz w:val="20"/>
                <w:szCs w:val="20"/>
                <w:color w:val="auto"/>
              </w:rPr>
            </w:pPr>
            <w:r>
              <w:rPr>
                <w:rFonts w:ascii="Courier New" w:cs="Courier New" w:eastAsia="Courier New" w:hAnsi="Courier New"/>
                <w:sz w:val="16"/>
                <w:szCs w:val="16"/>
                <w:color w:val="auto"/>
              </w:rPr>
              <w:t>6,571</w:t>
            </w:r>
          </w:p>
        </w:tc>
        <w:tc>
          <w:tcPr>
            <w:tcW w:w="480" w:type="dxa"/>
            <w:vAlign w:val="bottom"/>
          </w:tcPr>
          <w:p>
            <w:pPr>
              <w:spacing w:after="0"/>
              <w:rPr>
                <w:sz w:val="16"/>
                <w:szCs w:val="16"/>
                <w:color w:val="auto"/>
              </w:rPr>
            </w:pPr>
          </w:p>
        </w:tc>
        <w:tc>
          <w:tcPr>
            <w:tcW w:w="1860" w:type="dxa"/>
            <w:vAlign w:val="bottom"/>
          </w:tcPr>
          <w:p>
            <w:pPr>
              <w:ind w:left="780"/>
              <w:spacing w:after="0"/>
              <w:rPr>
                <w:sz w:val="20"/>
                <w:szCs w:val="20"/>
                <w:color w:val="auto"/>
              </w:rPr>
            </w:pPr>
            <w:r>
              <w:rPr>
                <w:rFonts w:ascii="Courier New" w:cs="Courier New" w:eastAsia="Courier New" w:hAnsi="Courier New"/>
                <w:sz w:val="16"/>
                <w:szCs w:val="16"/>
                <w:color w:val="auto"/>
              </w:rPr>
              <w:t>75,571</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6,805</w:t>
            </w:r>
          </w:p>
        </w:tc>
        <w:tc>
          <w:tcPr>
            <w:tcW w:w="48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6,805</w:t>
            </w:r>
          </w:p>
        </w:tc>
        <w:tc>
          <w:tcPr>
            <w:tcW w:w="880" w:type="dxa"/>
            <w:vAlign w:val="bottom"/>
          </w:tcPr>
          <w:p>
            <w:pPr>
              <w:spacing w:after="0"/>
              <w:rPr>
                <w:sz w:val="16"/>
                <w:szCs w:val="16"/>
                <w:color w:val="auto"/>
              </w:rPr>
            </w:pPr>
          </w:p>
        </w:tc>
      </w:tr>
      <w:tr>
        <w:trPr>
          <w:trHeight w:val="188"/>
        </w:trPr>
        <w:tc>
          <w:tcPr>
            <w:tcW w:w="2160" w:type="dxa"/>
            <w:vAlign w:val="bottom"/>
          </w:tcPr>
          <w:p>
            <w:pPr>
              <w:spacing w:after="0"/>
              <w:rPr>
                <w:sz w:val="16"/>
                <w:szCs w:val="16"/>
                <w:color w:val="auto"/>
              </w:rPr>
            </w:pPr>
          </w:p>
        </w:tc>
        <w:tc>
          <w:tcPr>
            <w:tcW w:w="4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w:t>
            </w:r>
          </w:p>
        </w:tc>
        <w:tc>
          <w:tcPr>
            <w:tcW w:w="1860" w:type="dxa"/>
            <w:vAlign w:val="bottom"/>
          </w:tcPr>
          <w:p>
            <w:pPr>
              <w:spacing w:after="0"/>
              <w:rPr>
                <w:sz w:val="16"/>
                <w:szCs w:val="16"/>
                <w:color w:val="auto"/>
              </w:rPr>
            </w:pPr>
          </w:p>
        </w:tc>
        <w:tc>
          <w:tcPr>
            <w:tcW w:w="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w:t>
            </w:r>
          </w:p>
        </w:tc>
      </w:tr>
      <w:tr>
        <w:trPr>
          <w:trHeight w:val="188"/>
        </w:trPr>
        <w:tc>
          <w:tcPr>
            <w:tcW w:w="26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2,623,379</w:t>
            </w:r>
          </w:p>
        </w:tc>
        <w:tc>
          <w:tcPr>
            <w:tcW w:w="2740" w:type="dxa"/>
            <w:vAlign w:val="bottom"/>
            <w:gridSpan w:val="2"/>
          </w:tcPr>
          <w:p>
            <w:pPr>
              <w:ind w:left="1280"/>
              <w:spacing w:after="0"/>
              <w:rPr>
                <w:sz w:val="20"/>
                <w:szCs w:val="20"/>
                <w:color w:val="auto"/>
              </w:rPr>
            </w:pPr>
            <w:r>
              <w:rPr>
                <w:rFonts w:ascii="Courier New" w:cs="Courier New" w:eastAsia="Courier New" w:hAnsi="Courier New"/>
                <w:sz w:val="16"/>
                <w:szCs w:val="16"/>
                <w:color w:val="auto"/>
              </w:rPr>
              <w:t>2,673,326</w:t>
            </w:r>
          </w:p>
        </w:tc>
      </w:tr>
      <w:tr>
        <w:trPr>
          <w:trHeight w:val="188"/>
        </w:trPr>
        <w:tc>
          <w:tcPr>
            <w:tcW w:w="2160" w:type="dxa"/>
            <w:vAlign w:val="bottom"/>
          </w:tcPr>
          <w:p>
            <w:pPr>
              <w:spacing w:after="0"/>
              <w:rPr>
                <w:sz w:val="16"/>
                <w:szCs w:val="16"/>
                <w:color w:val="auto"/>
              </w:rPr>
            </w:pPr>
          </w:p>
        </w:tc>
        <w:tc>
          <w:tcPr>
            <w:tcW w:w="2340" w:type="dxa"/>
            <w:vAlign w:val="bottom"/>
            <w:gridSpan w:val="2"/>
          </w:tcPr>
          <w:p>
            <w:pPr>
              <w:jc w:val="right"/>
              <w:ind w:right="1379"/>
              <w:spacing w:after="0"/>
              <w:rPr>
                <w:sz w:val="20"/>
                <w:szCs w:val="20"/>
                <w:color w:val="auto"/>
              </w:rPr>
            </w:pPr>
            <w:r>
              <w:rPr>
                <w:rFonts w:ascii="Courier New" w:cs="Courier New" w:eastAsia="Courier New" w:hAnsi="Courier New"/>
                <w:sz w:val="16"/>
                <w:szCs w:val="16"/>
                <w:color w:val="auto"/>
              </w:rPr>
              <w:t>671,048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671,048</w:t>
            </w:r>
          </w:p>
        </w:tc>
      </w:tr>
      <w:tr>
        <w:trPr>
          <w:trHeight w:val="188"/>
        </w:trPr>
        <w:tc>
          <w:tcPr>
            <w:tcW w:w="21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903,137</w:t>
            </w:r>
          </w:p>
        </w:tc>
        <w:tc>
          <w:tcPr>
            <w:tcW w:w="480" w:type="dxa"/>
            <w:vAlign w:val="bottom"/>
          </w:tcPr>
          <w:p>
            <w:pPr>
              <w:spacing w:after="0"/>
              <w:rPr>
                <w:sz w:val="16"/>
                <w:szCs w:val="16"/>
                <w:color w:val="auto"/>
              </w:rPr>
            </w:pPr>
          </w:p>
        </w:tc>
        <w:tc>
          <w:tcPr>
            <w:tcW w:w="18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903,137</w:t>
            </w:r>
          </w:p>
        </w:tc>
        <w:tc>
          <w:tcPr>
            <w:tcW w:w="880" w:type="dxa"/>
            <w:vAlign w:val="bottom"/>
          </w:tcPr>
          <w:p>
            <w:pPr>
              <w:spacing w:after="0"/>
              <w:rPr>
                <w:sz w:val="16"/>
                <w:szCs w:val="16"/>
                <w:color w:val="auto"/>
              </w:rPr>
            </w:pPr>
          </w:p>
        </w:tc>
      </w:tr>
      <w:tr>
        <w:trPr>
          <w:trHeight w:val="188"/>
        </w:trPr>
        <w:tc>
          <w:tcPr>
            <w:tcW w:w="2160" w:type="dxa"/>
            <w:vAlign w:val="bottom"/>
          </w:tcPr>
          <w:p>
            <w:pPr>
              <w:jc w:val="center"/>
              <w:ind w:left="999"/>
              <w:spacing w:after="0"/>
              <w:rPr>
                <w:sz w:val="20"/>
                <w:szCs w:val="20"/>
                <w:color w:val="auto"/>
              </w:rPr>
            </w:pPr>
            <w:r>
              <w:rPr>
                <w:rFonts w:ascii="Courier New" w:cs="Courier New" w:eastAsia="Courier New" w:hAnsi="Courier New"/>
                <w:sz w:val="16"/>
                <w:szCs w:val="16"/>
                <w:color w:val="auto"/>
              </w:rPr>
              <w:t>927,032</w:t>
            </w:r>
          </w:p>
        </w:tc>
        <w:tc>
          <w:tcPr>
            <w:tcW w:w="48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904,503</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1199"/>
              <w:spacing w:after="0"/>
              <w:rPr>
                <w:sz w:val="20"/>
                <w:szCs w:val="20"/>
                <w:color w:val="auto"/>
              </w:rPr>
            </w:pPr>
            <w:r>
              <w:rPr>
                <w:rFonts w:ascii="Courier New" w:cs="Courier New" w:eastAsia="Courier New" w:hAnsi="Courier New"/>
                <w:sz w:val="16"/>
                <w:szCs w:val="16"/>
                <w:color w:val="auto"/>
                <w:w w:val="99"/>
              </w:rPr>
              <w:t>2,280,170</w:t>
            </w:r>
          </w:p>
        </w:tc>
        <w:tc>
          <w:tcPr>
            <w:tcW w:w="2340" w:type="dxa"/>
            <w:vAlign w:val="bottom"/>
            <w:gridSpan w:val="2"/>
          </w:tcPr>
          <w:p>
            <w:pPr>
              <w:jc w:val="right"/>
              <w:ind w:right="1179"/>
              <w:spacing w:after="0"/>
              <w:rPr>
                <w:sz w:val="20"/>
                <w:szCs w:val="20"/>
                <w:color w:val="auto"/>
              </w:rPr>
            </w:pPr>
            <w:r>
              <w:rPr>
                <w:rFonts w:ascii="Courier New" w:cs="Courier New" w:eastAsia="Courier New" w:hAnsi="Courier New"/>
                <w:sz w:val="16"/>
                <w:szCs w:val="16"/>
                <w:color w:val="auto"/>
              </w:rPr>
              <w:t>2,257,641</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480" w:type="dxa"/>
            <w:vAlign w:val="bottom"/>
          </w:tcPr>
          <w:p>
            <w:pPr>
              <w:spacing w:after="0"/>
              <w:rPr>
                <w:sz w:val="16"/>
                <w:szCs w:val="16"/>
                <w:color w:val="auto"/>
              </w:rPr>
            </w:pPr>
          </w:p>
        </w:tc>
        <w:tc>
          <w:tcPr>
            <w:tcW w:w="1860" w:type="dxa"/>
            <w:vAlign w:val="bottom"/>
          </w:tcPr>
          <w:p>
            <w:pPr>
              <w:jc w:val="center"/>
              <w:ind w:left="919"/>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spacing w:after="0"/>
              <w:rPr>
                <w:sz w:val="16"/>
                <w:szCs w:val="16"/>
                <w:color w:val="auto"/>
              </w:rPr>
            </w:pPr>
          </w:p>
        </w:tc>
      </w:tr>
      <w:tr>
        <w:trPr>
          <w:trHeight w:val="188"/>
        </w:trPr>
        <w:tc>
          <w:tcPr>
            <w:tcW w:w="2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r>
      <w:tr>
        <w:trPr>
          <w:trHeight w:val="188"/>
        </w:trPr>
        <w:tc>
          <w:tcPr>
            <w:tcW w:w="2160" w:type="dxa"/>
            <w:vAlign w:val="bottom"/>
          </w:tcPr>
          <w:p>
            <w:pPr>
              <w:ind w:left="1180"/>
              <w:spacing w:after="0"/>
              <w:rPr>
                <w:sz w:val="20"/>
                <w:szCs w:val="20"/>
                <w:color w:val="auto"/>
              </w:rPr>
            </w:pPr>
            <w:r>
              <w:rPr>
                <w:rFonts w:ascii="Courier New" w:cs="Courier New" w:eastAsia="Courier New" w:hAnsi="Courier New"/>
                <w:sz w:val="16"/>
                <w:szCs w:val="16"/>
                <w:color w:val="auto"/>
              </w:rPr>
              <w:t>230,000</w:t>
            </w:r>
          </w:p>
        </w:tc>
        <w:tc>
          <w:tcPr>
            <w:tcW w:w="480" w:type="dxa"/>
            <w:vAlign w:val="bottom"/>
          </w:tcPr>
          <w:p>
            <w:pPr>
              <w:spacing w:after="0"/>
              <w:rPr>
                <w:sz w:val="16"/>
                <w:szCs w:val="16"/>
                <w:color w:val="auto"/>
              </w:rPr>
            </w:pP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230,000</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81,000</w:t>
            </w:r>
          </w:p>
        </w:tc>
        <w:tc>
          <w:tcPr>
            <w:tcW w:w="480" w:type="dxa"/>
            <w:vAlign w:val="bottom"/>
          </w:tcPr>
          <w:p>
            <w:pPr>
              <w:spacing w:after="0"/>
              <w:rPr>
                <w:sz w:val="16"/>
                <w:szCs w:val="16"/>
                <w:color w:val="auto"/>
              </w:rPr>
            </w:pPr>
          </w:p>
        </w:tc>
        <w:tc>
          <w:tcPr>
            <w:tcW w:w="1860" w:type="dxa"/>
            <w:vAlign w:val="bottom"/>
          </w:tcPr>
          <w:p>
            <w:pPr>
              <w:jc w:val="center"/>
              <w:ind w:left="899"/>
              <w:spacing w:after="0"/>
              <w:rPr>
                <w:sz w:val="20"/>
                <w:szCs w:val="20"/>
                <w:color w:val="auto"/>
              </w:rPr>
            </w:pPr>
            <w:r>
              <w:rPr>
                <w:rFonts w:ascii="Courier New" w:cs="Courier New" w:eastAsia="Courier New" w:hAnsi="Courier New"/>
                <w:sz w:val="16"/>
                <w:szCs w:val="16"/>
                <w:color w:val="auto"/>
              </w:rPr>
              <w:t>150,000</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0</w:t>
            </w:r>
          </w:p>
        </w:tc>
        <w:tc>
          <w:tcPr>
            <w:tcW w:w="480" w:type="dxa"/>
            <w:vAlign w:val="bottom"/>
          </w:tcPr>
          <w:p>
            <w:pPr>
              <w:spacing w:after="0"/>
              <w:rPr>
                <w:sz w:val="16"/>
                <w:szCs w:val="16"/>
                <w:color w:val="auto"/>
              </w:rPr>
            </w:pPr>
          </w:p>
        </w:tc>
        <w:tc>
          <w:tcPr>
            <w:tcW w:w="18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1199"/>
              <w:spacing w:after="0"/>
              <w:rPr>
                <w:sz w:val="20"/>
                <w:szCs w:val="20"/>
                <w:color w:val="auto"/>
              </w:rPr>
            </w:pPr>
            <w:r>
              <w:rPr>
                <w:rFonts w:ascii="Courier New" w:cs="Courier New" w:eastAsia="Courier New" w:hAnsi="Courier New"/>
                <w:sz w:val="16"/>
                <w:szCs w:val="16"/>
                <w:color w:val="auto"/>
              </w:rPr>
              <w:t>0</w:t>
            </w:r>
          </w:p>
        </w:tc>
        <w:tc>
          <w:tcPr>
            <w:tcW w:w="480" w:type="dxa"/>
            <w:vAlign w:val="bottom"/>
          </w:tcPr>
          <w:p>
            <w:pPr>
              <w:spacing w:after="0"/>
              <w:rPr>
                <w:sz w:val="16"/>
                <w:szCs w:val="16"/>
                <w:color w:val="auto"/>
              </w:rPr>
            </w:pPr>
          </w:p>
        </w:tc>
        <w:tc>
          <w:tcPr>
            <w:tcW w:w="186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1099"/>
              <w:spacing w:after="0"/>
              <w:rPr>
                <w:sz w:val="20"/>
                <w:szCs w:val="20"/>
                <w:color w:val="auto"/>
              </w:rPr>
            </w:pPr>
            <w:r>
              <w:rPr>
                <w:rFonts w:ascii="Courier New" w:cs="Courier New" w:eastAsia="Courier New" w:hAnsi="Courier New"/>
                <w:sz w:val="16"/>
                <w:szCs w:val="16"/>
                <w:color w:val="auto"/>
              </w:rPr>
              <w:t>9,000</w:t>
            </w:r>
          </w:p>
        </w:tc>
        <w:tc>
          <w:tcPr>
            <w:tcW w:w="480" w:type="dxa"/>
            <w:vAlign w:val="bottom"/>
          </w:tcPr>
          <w:p>
            <w:pPr>
              <w:spacing w:after="0"/>
              <w:rPr>
                <w:sz w:val="16"/>
                <w:szCs w:val="16"/>
                <w:color w:val="auto"/>
              </w:rPr>
            </w:pPr>
          </w:p>
        </w:tc>
        <w:tc>
          <w:tcPr>
            <w:tcW w:w="186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9,000</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0</w:t>
            </w:r>
          </w:p>
        </w:tc>
        <w:tc>
          <w:tcPr>
            <w:tcW w:w="480" w:type="dxa"/>
            <w:vAlign w:val="bottom"/>
          </w:tcPr>
          <w:p>
            <w:pPr>
              <w:spacing w:after="0"/>
              <w:rPr>
                <w:sz w:val="16"/>
                <w:szCs w:val="16"/>
                <w:color w:val="auto"/>
              </w:rPr>
            </w:pPr>
          </w:p>
        </w:tc>
        <w:tc>
          <w:tcPr>
            <w:tcW w:w="18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0</w:t>
            </w:r>
          </w:p>
        </w:tc>
        <w:tc>
          <w:tcPr>
            <w:tcW w:w="480" w:type="dxa"/>
            <w:vAlign w:val="bottom"/>
          </w:tcPr>
          <w:p>
            <w:pPr>
              <w:spacing w:after="0"/>
              <w:rPr>
                <w:sz w:val="16"/>
                <w:szCs w:val="16"/>
                <w:color w:val="auto"/>
              </w:rPr>
            </w:pPr>
          </w:p>
        </w:tc>
        <w:tc>
          <w:tcPr>
            <w:tcW w:w="1860" w:type="dxa"/>
            <w:vAlign w:val="bottom"/>
          </w:tcPr>
          <w:p>
            <w:pPr>
              <w:ind w:left="780"/>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spacing w:after="0"/>
              <w:rPr>
                <w:sz w:val="16"/>
                <w:szCs w:val="16"/>
                <w:color w:val="auto"/>
              </w:rPr>
            </w:pPr>
          </w:p>
        </w:tc>
      </w:tr>
      <w:tr>
        <w:trPr>
          <w:trHeight w:val="188"/>
        </w:trPr>
        <w:tc>
          <w:tcPr>
            <w:tcW w:w="2160" w:type="dxa"/>
            <w:vAlign w:val="bottom"/>
          </w:tcPr>
          <w:p>
            <w:pPr>
              <w:spacing w:after="0"/>
              <w:rPr>
                <w:sz w:val="16"/>
                <w:szCs w:val="16"/>
                <w:color w:val="auto"/>
              </w:rPr>
            </w:pPr>
          </w:p>
        </w:tc>
        <w:tc>
          <w:tcPr>
            <w:tcW w:w="48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82"/>
              </w:rPr>
              <w:t>0</w:t>
            </w:r>
          </w:p>
        </w:tc>
        <w:tc>
          <w:tcPr>
            <w:tcW w:w="1860" w:type="dxa"/>
            <w:vAlign w:val="bottom"/>
          </w:tcPr>
          <w:p>
            <w:pPr>
              <w:spacing w:after="0"/>
              <w:rPr>
                <w:sz w:val="16"/>
                <w:szCs w:val="16"/>
                <w:color w:val="auto"/>
              </w:rPr>
            </w:pPr>
          </w:p>
        </w:tc>
        <w:tc>
          <w:tcPr>
            <w:tcW w:w="88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82"/>
              </w:rPr>
              <w:t>0</w:t>
            </w:r>
          </w:p>
        </w:tc>
      </w:tr>
      <w:tr>
        <w:trPr>
          <w:trHeight w:val="188"/>
        </w:trPr>
        <w:tc>
          <w:tcPr>
            <w:tcW w:w="2160" w:type="dxa"/>
            <w:vAlign w:val="bottom"/>
          </w:tcPr>
          <w:p>
            <w:pPr>
              <w:jc w:val="right"/>
              <w:ind w:right="1199"/>
              <w:spacing w:after="0"/>
              <w:rPr>
                <w:sz w:val="20"/>
                <w:szCs w:val="20"/>
                <w:color w:val="auto"/>
              </w:rPr>
            </w:pPr>
            <w:r>
              <w:rPr>
                <w:rFonts w:ascii="Courier New" w:cs="Courier New" w:eastAsia="Courier New" w:hAnsi="Courier New"/>
                <w:sz w:val="16"/>
                <w:szCs w:val="16"/>
                <w:color w:val="auto"/>
              </w:rPr>
              <w:t>23,209</w:t>
            </w:r>
          </w:p>
        </w:tc>
        <w:tc>
          <w:tcPr>
            <w:tcW w:w="480" w:type="dxa"/>
            <w:vAlign w:val="bottom"/>
          </w:tcPr>
          <w:p>
            <w:pPr>
              <w:spacing w:after="0"/>
              <w:rPr>
                <w:sz w:val="16"/>
                <w:szCs w:val="16"/>
                <w:color w:val="auto"/>
              </w:rPr>
            </w:pPr>
          </w:p>
        </w:tc>
        <w:tc>
          <w:tcPr>
            <w:tcW w:w="186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26,685</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1099"/>
              <w:spacing w:after="0"/>
              <w:rPr>
                <w:sz w:val="20"/>
                <w:szCs w:val="20"/>
                <w:color w:val="auto"/>
              </w:rPr>
            </w:pPr>
            <w:r>
              <w:rPr>
                <w:rFonts w:ascii="Courier New" w:cs="Courier New" w:eastAsia="Courier New" w:hAnsi="Courier New"/>
                <w:sz w:val="16"/>
                <w:szCs w:val="16"/>
                <w:color w:val="auto"/>
              </w:rPr>
              <w:t>2,623,379</w:t>
            </w:r>
          </w:p>
        </w:tc>
        <w:tc>
          <w:tcPr>
            <w:tcW w:w="23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2,673,326</w:t>
            </w:r>
          </w:p>
        </w:tc>
        <w:tc>
          <w:tcPr>
            <w:tcW w:w="880" w:type="dxa"/>
            <w:vAlign w:val="bottom"/>
          </w:tcPr>
          <w:p>
            <w:pPr>
              <w:spacing w:after="0"/>
              <w:rPr>
                <w:sz w:val="16"/>
                <w:szCs w:val="16"/>
                <w:color w:val="auto"/>
              </w:rPr>
            </w:pPr>
          </w:p>
        </w:tc>
      </w:tr>
      <w:tr>
        <w:trPr>
          <w:trHeight w:val="188"/>
        </w:trPr>
        <w:tc>
          <w:tcPr>
            <w:tcW w:w="2160" w:type="dxa"/>
            <w:vAlign w:val="bottom"/>
          </w:tcPr>
          <w:p>
            <w:pPr>
              <w:ind w:left="1180"/>
              <w:spacing w:after="0"/>
              <w:rPr>
                <w:sz w:val="20"/>
                <w:szCs w:val="20"/>
                <w:color w:val="auto"/>
              </w:rPr>
            </w:pPr>
            <w:r>
              <w:rPr>
                <w:rFonts w:ascii="Courier New" w:cs="Courier New" w:eastAsia="Courier New" w:hAnsi="Courier New"/>
                <w:sz w:val="16"/>
                <w:szCs w:val="16"/>
                <w:color w:val="auto"/>
              </w:rPr>
              <w:t>0</w:t>
            </w:r>
          </w:p>
        </w:tc>
        <w:tc>
          <w:tcPr>
            <w:tcW w:w="480" w:type="dxa"/>
            <w:vAlign w:val="bottom"/>
          </w:tcPr>
          <w:p>
            <w:pPr>
              <w:spacing w:after="0"/>
              <w:rPr>
                <w:sz w:val="16"/>
                <w:szCs w:val="16"/>
                <w:color w:val="auto"/>
              </w:rPr>
            </w:pPr>
          </w:p>
        </w:tc>
        <w:tc>
          <w:tcPr>
            <w:tcW w:w="18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spacing w:after="0"/>
              <w:rPr>
                <w:sz w:val="16"/>
                <w:szCs w:val="16"/>
                <w:color w:val="auto"/>
              </w:rPr>
            </w:pPr>
          </w:p>
        </w:tc>
      </w:tr>
      <w:tr>
        <w:trPr>
          <w:trHeight w:val="188"/>
        </w:trPr>
        <w:tc>
          <w:tcPr>
            <w:tcW w:w="2160" w:type="dxa"/>
            <w:vAlign w:val="bottom"/>
          </w:tcPr>
          <w:p>
            <w:pPr>
              <w:jc w:val="center"/>
              <w:ind w:left="999"/>
              <w:spacing w:after="0"/>
              <w:rPr>
                <w:sz w:val="20"/>
                <w:szCs w:val="20"/>
                <w:color w:val="auto"/>
              </w:rPr>
            </w:pPr>
            <w:r>
              <w:rPr>
                <w:rFonts w:ascii="Courier New" w:cs="Courier New" w:eastAsia="Courier New" w:hAnsi="Courier New"/>
                <w:sz w:val="16"/>
                <w:szCs w:val="16"/>
                <w:color w:val="auto"/>
              </w:rPr>
              <w:t>(8,200)</w:t>
            </w:r>
          </w:p>
        </w:tc>
        <w:tc>
          <w:tcPr>
            <w:tcW w:w="48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(10,072)</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8,206</w:t>
            </w:r>
          </w:p>
        </w:tc>
        <w:tc>
          <w:tcPr>
            <w:tcW w:w="480" w:type="dxa"/>
            <w:vAlign w:val="bottom"/>
          </w:tcPr>
          <w:p>
            <w:pPr>
              <w:spacing w:after="0"/>
              <w:rPr>
                <w:sz w:val="16"/>
                <w:szCs w:val="16"/>
                <w:color w:val="auto"/>
              </w:rPr>
            </w:pPr>
          </w:p>
        </w:tc>
        <w:tc>
          <w:tcPr>
            <w:tcW w:w="18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8,206</w:t>
            </w:r>
          </w:p>
        </w:tc>
        <w:tc>
          <w:tcPr>
            <w:tcW w:w="880" w:type="dxa"/>
            <w:vAlign w:val="bottom"/>
          </w:tcPr>
          <w:p>
            <w:pPr>
              <w:spacing w:after="0"/>
              <w:rPr>
                <w:sz w:val="16"/>
                <w:szCs w:val="16"/>
                <w:color w:val="auto"/>
              </w:rPr>
            </w:pPr>
          </w:p>
        </w:tc>
      </w:tr>
      <w:tr>
        <w:trPr>
          <w:trHeight w:val="188"/>
        </w:trPr>
        <w:tc>
          <w:tcPr>
            <w:tcW w:w="2160" w:type="dxa"/>
            <w:vAlign w:val="bottom"/>
          </w:tcPr>
          <w:p>
            <w:pPr>
              <w:ind w:left="1180"/>
              <w:spacing w:after="0"/>
              <w:rPr>
                <w:sz w:val="20"/>
                <w:szCs w:val="20"/>
                <w:color w:val="auto"/>
              </w:rPr>
            </w:pPr>
            <w:r>
              <w:rPr>
                <w:rFonts w:ascii="Courier New" w:cs="Courier New" w:eastAsia="Courier New" w:hAnsi="Courier New"/>
                <w:sz w:val="16"/>
                <w:szCs w:val="16"/>
                <w:color w:val="auto"/>
              </w:rPr>
              <w:t>6</w:t>
            </w:r>
          </w:p>
        </w:tc>
        <w:tc>
          <w:tcPr>
            <w:tcW w:w="480" w:type="dxa"/>
            <w:vAlign w:val="bottom"/>
          </w:tcPr>
          <w:p>
            <w:pPr>
              <w:spacing w:after="0"/>
              <w:rPr>
                <w:sz w:val="16"/>
                <w:szCs w:val="16"/>
                <w:color w:val="auto"/>
              </w:rPr>
            </w:pPr>
          </w:p>
        </w:tc>
        <w:tc>
          <w:tcPr>
            <w:tcW w:w="18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(1,866)</w:t>
            </w:r>
          </w:p>
        </w:tc>
        <w:tc>
          <w:tcPr>
            <w:tcW w:w="880" w:type="dxa"/>
            <w:vAlign w:val="bottom"/>
          </w:tcPr>
          <w:p>
            <w:pPr>
              <w:spacing w:after="0"/>
              <w:rPr>
                <w:sz w:val="16"/>
                <w:szCs w:val="16"/>
                <w:color w:val="auto"/>
              </w:rPr>
            </w:pPr>
          </w:p>
        </w:tc>
      </w:tr>
      <w:tr>
        <w:trPr>
          <w:trHeight w:val="188"/>
        </w:trPr>
        <w:tc>
          <w:tcPr>
            <w:tcW w:w="2160" w:type="dxa"/>
            <w:vAlign w:val="bottom"/>
          </w:tcPr>
          <w:p>
            <w:pPr>
              <w:ind w:left="1380"/>
              <w:spacing w:after="0"/>
              <w:rPr>
                <w:sz w:val="20"/>
                <w:szCs w:val="20"/>
                <w:color w:val="auto"/>
              </w:rPr>
            </w:pPr>
            <w:r>
              <w:rPr>
                <w:rFonts w:ascii="Courier New" w:cs="Courier New" w:eastAsia="Courier New" w:hAnsi="Courier New"/>
                <w:sz w:val="16"/>
                <w:szCs w:val="16"/>
                <w:color w:val="auto"/>
              </w:rPr>
              <w:t>(6)</w:t>
            </w:r>
          </w:p>
        </w:tc>
        <w:tc>
          <w:tcPr>
            <w:tcW w:w="480" w:type="dxa"/>
            <w:vAlign w:val="bottom"/>
          </w:tcPr>
          <w:p>
            <w:pPr>
              <w:spacing w:after="0"/>
              <w:rPr>
                <w:sz w:val="16"/>
                <w:szCs w:val="16"/>
                <w:color w:val="auto"/>
              </w:rPr>
            </w:pPr>
          </w:p>
        </w:tc>
        <w:tc>
          <w:tcPr>
            <w:tcW w:w="1860" w:type="dxa"/>
            <w:vAlign w:val="bottom"/>
          </w:tcPr>
          <w:p>
            <w:pPr>
              <w:ind w:left="780"/>
              <w:spacing w:after="0"/>
              <w:rPr>
                <w:sz w:val="20"/>
                <w:szCs w:val="20"/>
                <w:color w:val="auto"/>
              </w:rPr>
            </w:pPr>
            <w:r>
              <w:rPr>
                <w:rFonts w:ascii="Courier New" w:cs="Courier New" w:eastAsia="Courier New" w:hAnsi="Courier New"/>
                <w:sz w:val="16"/>
                <w:szCs w:val="16"/>
                <w:color w:val="auto"/>
              </w:rPr>
              <w:t>1,866</w:t>
            </w:r>
          </w:p>
        </w:tc>
        <w:tc>
          <w:tcPr>
            <w:tcW w:w="880" w:type="dxa"/>
            <w:vAlign w:val="bottom"/>
          </w:tcPr>
          <w:p>
            <w:pPr>
              <w:spacing w:after="0"/>
              <w:rPr>
                <w:sz w:val="16"/>
                <w:szCs w:val="16"/>
                <w:color w:val="auto"/>
              </w:rPr>
            </w:pPr>
          </w:p>
        </w:tc>
      </w:tr>
      <w:tr>
        <w:trPr>
          <w:trHeight w:val="188"/>
        </w:trPr>
        <w:tc>
          <w:tcPr>
            <w:tcW w:w="2160" w:type="dxa"/>
            <w:vAlign w:val="bottom"/>
          </w:tcPr>
          <w:p>
            <w:pPr>
              <w:ind w:left="1380"/>
              <w:spacing w:after="0"/>
              <w:rPr>
                <w:sz w:val="20"/>
                <w:szCs w:val="20"/>
                <w:color w:val="auto"/>
              </w:rPr>
            </w:pPr>
            <w:r>
              <w:rPr>
                <w:rFonts w:ascii="Courier New" w:cs="Courier New" w:eastAsia="Courier New" w:hAnsi="Courier New"/>
                <w:sz w:val="16"/>
                <w:szCs w:val="16"/>
                <w:color w:val="auto"/>
              </w:rPr>
              <w:t>303,654</w:t>
            </w:r>
          </w:p>
        </w:tc>
        <w:tc>
          <w:tcPr>
            <w:tcW w:w="480" w:type="dxa"/>
            <w:vAlign w:val="bottom"/>
          </w:tcPr>
          <w:p>
            <w:pPr>
              <w:spacing w:after="0"/>
              <w:rPr>
                <w:sz w:val="16"/>
                <w:szCs w:val="16"/>
                <w:color w:val="auto"/>
              </w:rPr>
            </w:pPr>
          </w:p>
        </w:tc>
        <w:tc>
          <w:tcPr>
            <w:tcW w:w="1860" w:type="dxa"/>
            <w:vAlign w:val="bottom"/>
          </w:tcPr>
          <w:p>
            <w:pPr>
              <w:jc w:val="center"/>
              <w:ind w:left="899"/>
              <w:spacing w:after="0"/>
              <w:rPr>
                <w:sz w:val="20"/>
                <w:szCs w:val="20"/>
                <w:color w:val="auto"/>
              </w:rPr>
            </w:pPr>
            <w:r>
              <w:rPr>
                <w:rFonts w:ascii="Courier New" w:cs="Courier New" w:eastAsia="Courier New" w:hAnsi="Courier New"/>
                <w:sz w:val="16"/>
                <w:szCs w:val="16"/>
                <w:color w:val="auto"/>
              </w:rPr>
              <w:t>284,601</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1199"/>
              <w:spacing w:after="0"/>
              <w:rPr>
                <w:sz w:val="20"/>
                <w:szCs w:val="20"/>
                <w:color w:val="auto"/>
              </w:rPr>
            </w:pPr>
            <w:r>
              <w:rPr>
                <w:rFonts w:ascii="Courier New" w:cs="Courier New" w:eastAsia="Courier New" w:hAnsi="Courier New"/>
                <w:sz w:val="16"/>
                <w:szCs w:val="16"/>
                <w:color w:val="auto"/>
              </w:rPr>
              <w:t>303,648</w:t>
            </w:r>
          </w:p>
        </w:tc>
        <w:tc>
          <w:tcPr>
            <w:tcW w:w="2340" w:type="dxa"/>
            <w:vAlign w:val="bottom"/>
            <w:gridSpan w:val="2"/>
          </w:tcPr>
          <w:p>
            <w:pPr>
              <w:jc w:val="right"/>
              <w:ind w:right="1179"/>
              <w:spacing w:after="0"/>
              <w:rPr>
                <w:sz w:val="20"/>
                <w:szCs w:val="20"/>
                <w:color w:val="auto"/>
              </w:rPr>
            </w:pPr>
            <w:r>
              <w:rPr>
                <w:rFonts w:ascii="Courier New" w:cs="Courier New" w:eastAsia="Courier New" w:hAnsi="Courier New"/>
                <w:sz w:val="16"/>
                <w:szCs w:val="16"/>
                <w:color w:val="auto"/>
              </w:rPr>
              <w:t>286,467</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23,868</w:t>
            </w:r>
          </w:p>
        </w:tc>
        <w:tc>
          <w:tcPr>
            <w:tcW w:w="48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29,216</w:t>
            </w:r>
          </w:p>
        </w:tc>
        <w:tc>
          <w:tcPr>
            <w:tcW w:w="880" w:type="dxa"/>
            <w:vAlign w:val="bottom"/>
          </w:tcPr>
          <w:p>
            <w:pPr>
              <w:spacing w:after="0"/>
              <w:rPr>
                <w:sz w:val="16"/>
                <w:szCs w:val="16"/>
                <w:color w:val="auto"/>
              </w:rPr>
            </w:pPr>
          </w:p>
        </w:tc>
      </w:tr>
      <w:tr>
        <w:trPr>
          <w:trHeight w:val="188"/>
        </w:trPr>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279,780</w:t>
            </w:r>
          </w:p>
        </w:tc>
        <w:tc>
          <w:tcPr>
            <w:tcW w:w="2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257,251</w:t>
            </w:r>
          </w:p>
        </w:tc>
      </w:tr>
      <w:tr>
        <w:trPr>
          <w:trHeight w:val="188"/>
        </w:trPr>
        <w:tc>
          <w:tcPr>
            <w:tcW w:w="21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0</w:t>
            </w:r>
          </w:p>
        </w:tc>
        <w:tc>
          <w:tcPr>
            <w:tcW w:w="480" w:type="dxa"/>
            <w:vAlign w:val="bottom"/>
          </w:tcPr>
          <w:p>
            <w:pPr>
              <w:spacing w:after="0"/>
              <w:rPr>
                <w:sz w:val="16"/>
                <w:szCs w:val="16"/>
                <w:color w:val="auto"/>
              </w:rPr>
            </w:pPr>
          </w:p>
        </w:tc>
        <w:tc>
          <w:tcPr>
            <w:tcW w:w="1860" w:type="dxa"/>
            <w:vAlign w:val="bottom"/>
          </w:tcPr>
          <w:p>
            <w:pPr>
              <w:ind w:left="780"/>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1099"/>
              <w:spacing w:after="0"/>
              <w:rPr>
                <w:sz w:val="20"/>
                <w:szCs w:val="20"/>
                <w:color w:val="auto"/>
              </w:rPr>
            </w:pPr>
            <w:r>
              <w:rPr>
                <w:rFonts w:ascii="Courier New" w:cs="Courier New" w:eastAsia="Courier New" w:hAnsi="Courier New"/>
                <w:sz w:val="16"/>
                <w:szCs w:val="16"/>
                <w:color w:val="auto"/>
              </w:rPr>
              <w:t>279,780</w:t>
            </w:r>
          </w:p>
        </w:tc>
        <w:tc>
          <w:tcPr>
            <w:tcW w:w="480" w:type="dxa"/>
            <w:vAlign w:val="bottom"/>
          </w:tcPr>
          <w:p>
            <w:pPr>
              <w:spacing w:after="0"/>
              <w:rPr>
                <w:sz w:val="16"/>
                <w:szCs w:val="16"/>
                <w:color w:val="auto"/>
              </w:rPr>
            </w:pPr>
          </w:p>
        </w:tc>
        <w:tc>
          <w:tcPr>
            <w:tcW w:w="186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257,251</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218,822</w:t>
            </w:r>
          </w:p>
        </w:tc>
        <w:tc>
          <w:tcPr>
            <w:tcW w:w="48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218,822</w:t>
            </w:r>
          </w:p>
        </w:tc>
        <w:tc>
          <w:tcPr>
            <w:tcW w:w="880" w:type="dxa"/>
            <w:vAlign w:val="bottom"/>
          </w:tcPr>
          <w:p>
            <w:pPr>
              <w:spacing w:after="0"/>
              <w:rPr>
                <w:sz w:val="16"/>
                <w:szCs w:val="16"/>
                <w:color w:val="auto"/>
              </w:rPr>
            </w:pPr>
          </w:p>
        </w:tc>
      </w:tr>
      <w:tr>
        <w:trPr>
          <w:trHeight w:val="188"/>
        </w:trPr>
        <w:tc>
          <w:tcPr>
            <w:tcW w:w="21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20,740</w:t>
            </w:r>
          </w:p>
        </w:tc>
        <w:tc>
          <w:tcPr>
            <w:tcW w:w="480" w:type="dxa"/>
            <w:vAlign w:val="bottom"/>
          </w:tcPr>
          <w:p>
            <w:pPr>
              <w:spacing w:after="0"/>
              <w:rPr>
                <w:sz w:val="16"/>
                <w:szCs w:val="16"/>
                <w:color w:val="auto"/>
              </w:rPr>
            </w:pPr>
          </w:p>
        </w:tc>
        <w:tc>
          <w:tcPr>
            <w:tcW w:w="18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20,740</w:t>
            </w:r>
          </w:p>
        </w:tc>
        <w:tc>
          <w:tcPr>
            <w:tcW w:w="880" w:type="dxa"/>
            <w:vAlign w:val="bottom"/>
          </w:tcPr>
          <w:p>
            <w:pPr>
              <w:spacing w:after="0"/>
              <w:rPr>
                <w:sz w:val="16"/>
                <w:szCs w:val="16"/>
                <w:color w:val="auto"/>
              </w:rPr>
            </w:pPr>
          </w:p>
        </w:tc>
      </w:tr>
      <w:tr>
        <w:trPr>
          <w:trHeight w:val="188"/>
        </w:trPr>
        <w:tc>
          <w:tcPr>
            <w:tcW w:w="2160" w:type="dxa"/>
            <w:vAlign w:val="bottom"/>
          </w:tcPr>
          <w:p>
            <w:pPr>
              <w:jc w:val="center"/>
              <w:ind w:left="1019"/>
              <w:spacing w:after="0"/>
              <w:rPr>
                <w:sz w:val="20"/>
                <w:szCs w:val="20"/>
                <w:color w:val="auto"/>
              </w:rPr>
            </w:pPr>
            <w:r>
              <w:rPr>
                <w:rFonts w:ascii="Courier New" w:cs="Courier New" w:eastAsia="Courier New" w:hAnsi="Courier New"/>
                <w:sz w:val="16"/>
                <w:szCs w:val="16"/>
                <w:color w:val="auto"/>
              </w:rPr>
              <w:t>0</w:t>
            </w:r>
          </w:p>
        </w:tc>
        <w:tc>
          <w:tcPr>
            <w:tcW w:w="480" w:type="dxa"/>
            <w:vAlign w:val="bottom"/>
          </w:tcPr>
          <w:p>
            <w:pPr>
              <w:spacing w:after="0"/>
              <w:rPr>
                <w:sz w:val="16"/>
                <w:szCs w:val="16"/>
                <w:color w:val="auto"/>
              </w:rPr>
            </w:pPr>
          </w:p>
        </w:tc>
        <w:tc>
          <w:tcPr>
            <w:tcW w:w="1860" w:type="dxa"/>
            <w:vAlign w:val="bottom"/>
          </w:tcPr>
          <w:p>
            <w:pPr>
              <w:ind w:left="1280"/>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spacing w:after="0"/>
              <w:rPr>
                <w:sz w:val="16"/>
                <w:szCs w:val="16"/>
                <w:color w:val="auto"/>
              </w:rPr>
            </w:pPr>
          </w:p>
        </w:tc>
      </w:tr>
      <w:tr>
        <w:trPr>
          <w:trHeight w:val="188"/>
        </w:trPr>
        <w:tc>
          <w:tcPr>
            <w:tcW w:w="2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2.25</w:t>
            </w:r>
          </w:p>
        </w:tc>
        <w:tc>
          <w:tcPr>
            <w:tcW w:w="186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2.07</w:t>
            </w:r>
          </w:p>
        </w:tc>
      </w:tr>
      <w:tr>
        <w:trPr>
          <w:trHeight w:val="188"/>
        </w:trPr>
        <w:tc>
          <w:tcPr>
            <w:tcW w:w="2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2.25</w:t>
            </w:r>
          </w:p>
        </w:tc>
        <w:tc>
          <w:tcPr>
            <w:tcW w:w="186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2.07</w:t>
            </w:r>
          </w:p>
        </w:tc>
      </w:tr>
    </w:tbl>
    <w:p>
      <w:pPr>
        <w:sectPr>
          <w:pgSz w:w="11900" w:h="16838" w:orient="portrait"/>
          <w:cols w:equalWidth="0" w:num="1">
            <w:col w:w="10219"/>
          </w:cols>
          <w:pgMar w:left="240" w:top="142" w:right="1440" w:bottom="1440" w:gutter="0" w:footer="0" w:header="0"/>
          <w:type w:val="continuous"/>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WARNING: THE EDGAR SYSTEM ENCOUNTERED ERROR(S) WHILE PROCESSING THIS SCHEDULE.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520" w:type="dxa"/>
            <w:vAlign w:val="bottom"/>
          </w:tcPr>
          <w:p>
            <w:pPr>
              <w:jc w:val="right"/>
              <w:ind w:right="2959"/>
              <w:spacing w:after="0"/>
              <w:rPr>
                <w:sz w:val="20"/>
                <w:szCs w:val="20"/>
                <w:color w:val="auto"/>
              </w:rPr>
            </w:pPr>
            <w:r>
              <w:rPr>
                <w:rFonts w:ascii="Courier New" w:cs="Courier New" w:eastAsia="Courier New" w:hAnsi="Courier New"/>
                <w:sz w:val="16"/>
                <w:szCs w:val="16"/>
                <w:color w:val="auto"/>
                <w:w w:val="95"/>
              </w:rPr>
              <w:t>OPUR1</w:t>
            </w: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564"/>
        </w:trPr>
        <w:tc>
          <w:tcPr>
            <w:tcW w:w="3520" w:type="dxa"/>
            <w:vAlign w:val="bottom"/>
          </w:tcPr>
          <w:p>
            <w:pPr>
              <w:ind w:left="780"/>
              <w:spacing w:after="0"/>
              <w:rPr>
                <w:sz w:val="20"/>
                <w:szCs w:val="20"/>
                <w:color w:val="auto"/>
              </w:rPr>
            </w:pPr>
            <w:r>
              <w:rPr>
                <w:rFonts w:ascii="Courier New" w:cs="Courier New" w:eastAsia="Courier New" w:hAnsi="Courier New"/>
                <w:sz w:val="16"/>
                <w:szCs w:val="16"/>
                <w:color w:val="auto"/>
              </w:rPr>
              <w:t>10</w:t>
            </w: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566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NORTHEAST UTILITIES AND SUBSIDIARIES</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2959"/>
              <w:spacing w:after="0"/>
              <w:rPr>
                <w:sz w:val="20"/>
                <w:szCs w:val="20"/>
                <w:color w:val="auto"/>
              </w:rPr>
            </w:pPr>
            <w:r>
              <w:rPr>
                <w:rFonts w:ascii="Courier New" w:cs="Courier New" w:eastAsia="Courier New" w:hAnsi="Courier New"/>
                <w:sz w:val="16"/>
                <w:szCs w:val="16"/>
                <w:color w:val="auto"/>
                <w:w w:val="95"/>
              </w:rPr>
              <w:t>1,000</w:t>
            </w:r>
          </w:p>
        </w:tc>
        <w:tc>
          <w:tcPr>
            <w:tcW w:w="3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564"/>
        </w:trPr>
        <w:tc>
          <w:tcPr>
            <w:tcW w:w="3520" w:type="dxa"/>
            <w:vAlign w:val="bottom"/>
          </w:tcPr>
          <w:p>
            <w:pPr>
              <w:jc w:val="right"/>
              <w:ind w:right="1299"/>
              <w:spacing w:after="0"/>
              <w:rPr>
                <w:sz w:val="20"/>
                <w:szCs w:val="20"/>
                <w:color w:val="auto"/>
              </w:rPr>
            </w:pPr>
            <w:r>
              <w:rPr>
                <w:rFonts w:ascii="Courier New" w:cs="Courier New" w:eastAsia="Courier New" w:hAnsi="Courier New"/>
                <w:sz w:val="16"/>
                <w:szCs w:val="16"/>
                <w:color w:val="auto"/>
              </w:rPr>
              <w:t>12-MOS</w:t>
            </w:r>
          </w:p>
        </w:tc>
        <w:tc>
          <w:tcPr>
            <w:tcW w:w="380" w:type="dxa"/>
            <w:vAlign w:val="bottom"/>
          </w:tcPr>
          <w:p>
            <w:pPr>
              <w:spacing w:after="0"/>
              <w:rPr>
                <w:sz w:val="24"/>
                <w:szCs w:val="24"/>
                <w:color w:val="auto"/>
              </w:rPr>
            </w:pPr>
          </w:p>
        </w:tc>
        <w:tc>
          <w:tcPr>
            <w:tcW w:w="176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12-MOS</w:t>
            </w:r>
          </w:p>
        </w:tc>
        <w:tc>
          <w:tcPr>
            <w:tcW w:w="980" w:type="dxa"/>
            <w:vAlign w:val="bottom"/>
          </w:tcPr>
          <w:p>
            <w:pPr>
              <w:spacing w:after="0"/>
              <w:rPr>
                <w:sz w:val="24"/>
                <w:szCs w:val="24"/>
                <w:color w:val="auto"/>
              </w:rPr>
            </w:pPr>
          </w:p>
        </w:tc>
      </w:tr>
      <w:tr>
        <w:trPr>
          <w:trHeight w:val="188"/>
        </w:trPr>
        <w:tc>
          <w:tcPr>
            <w:tcW w:w="3520" w:type="dxa"/>
            <w:vAlign w:val="bottom"/>
          </w:tcPr>
          <w:p>
            <w:pPr>
              <w:ind w:left="2340"/>
              <w:spacing w:after="0"/>
              <w:rPr>
                <w:sz w:val="20"/>
                <w:szCs w:val="20"/>
                <w:color w:val="auto"/>
              </w:rPr>
            </w:pPr>
            <w:r>
              <w:rPr>
                <w:rFonts w:ascii="Courier New" w:cs="Courier New" w:eastAsia="Courier New" w:hAnsi="Courier New"/>
                <w:sz w:val="16"/>
                <w:szCs w:val="16"/>
                <w:color w:val="auto"/>
              </w:rPr>
              <w:t>DEC-31-1994</w:t>
            </w:r>
          </w:p>
        </w:tc>
        <w:tc>
          <w:tcPr>
            <w:tcW w:w="380" w:type="dxa"/>
            <w:vAlign w:val="bottom"/>
          </w:tcPr>
          <w:p>
            <w:pPr>
              <w:spacing w:after="0"/>
              <w:rPr>
                <w:sz w:val="16"/>
                <w:szCs w:val="16"/>
                <w:color w:val="auto"/>
              </w:rPr>
            </w:pPr>
          </w:p>
        </w:tc>
        <w:tc>
          <w:tcPr>
            <w:tcW w:w="274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DEC-31-1994</w:t>
            </w:r>
          </w:p>
        </w:tc>
      </w:tr>
      <w:tr>
        <w:trPr>
          <w:trHeight w:val="188"/>
        </w:trPr>
        <w:tc>
          <w:tcPr>
            <w:tcW w:w="3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JUN-30-1994</w:t>
            </w:r>
          </w:p>
        </w:tc>
        <w:tc>
          <w:tcPr>
            <w:tcW w:w="2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JUN-30-1994</w:t>
            </w:r>
          </w:p>
        </w:tc>
      </w:tr>
      <w:tr>
        <w:trPr>
          <w:trHeight w:val="188"/>
        </w:trPr>
        <w:tc>
          <w:tcPr>
            <w:tcW w:w="3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PER-BOOK</w:t>
            </w:r>
          </w:p>
        </w:tc>
        <w:tc>
          <w:tcPr>
            <w:tcW w:w="2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PRO-FORMA</w:t>
            </w:r>
          </w:p>
        </w:tc>
      </w:tr>
      <w:tr>
        <w:trPr>
          <w:trHeight w:val="188"/>
        </w:trPr>
        <w:tc>
          <w:tcPr>
            <w:tcW w:w="35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6,632,609</w:t>
            </w:r>
          </w:p>
        </w:tc>
        <w:tc>
          <w:tcPr>
            <w:tcW w:w="380" w:type="dxa"/>
            <w:vAlign w:val="bottom"/>
          </w:tcPr>
          <w:p>
            <w:pPr>
              <w:spacing w:after="0"/>
              <w:rPr>
                <w:sz w:val="16"/>
                <w:szCs w:val="16"/>
                <w:color w:val="auto"/>
              </w:rPr>
            </w:pPr>
          </w:p>
        </w:tc>
        <w:tc>
          <w:tcPr>
            <w:tcW w:w="17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6,632,609</w:t>
            </w:r>
          </w:p>
        </w:tc>
        <w:tc>
          <w:tcPr>
            <w:tcW w:w="980" w:type="dxa"/>
            <w:vAlign w:val="bottom"/>
          </w:tcPr>
          <w:p>
            <w:pPr>
              <w:spacing w:after="0"/>
              <w:rPr>
                <w:sz w:val="16"/>
                <w:szCs w:val="16"/>
                <w:color w:val="auto"/>
              </w:rPr>
            </w:pPr>
          </w:p>
        </w:tc>
      </w:tr>
      <w:tr>
        <w:trPr>
          <w:trHeight w:val="188"/>
        </w:trPr>
        <w:tc>
          <w:tcPr>
            <w:tcW w:w="3520" w:type="dxa"/>
            <w:vAlign w:val="bottom"/>
          </w:tcPr>
          <w:p>
            <w:pPr>
              <w:jc w:val="center"/>
              <w:ind w:left="599"/>
              <w:spacing w:after="0"/>
              <w:rPr>
                <w:sz w:val="20"/>
                <w:szCs w:val="20"/>
                <w:color w:val="auto"/>
              </w:rPr>
            </w:pPr>
            <w:r>
              <w:rPr>
                <w:rFonts w:ascii="Courier New" w:cs="Courier New" w:eastAsia="Courier New" w:hAnsi="Courier New"/>
                <w:sz w:val="16"/>
                <w:szCs w:val="16"/>
                <w:color w:val="auto"/>
              </w:rPr>
              <w:t>372,384</w:t>
            </w:r>
          </w:p>
        </w:tc>
        <w:tc>
          <w:tcPr>
            <w:tcW w:w="380" w:type="dxa"/>
            <w:vAlign w:val="bottom"/>
          </w:tcPr>
          <w:p>
            <w:pPr>
              <w:spacing w:after="0"/>
              <w:rPr>
                <w:sz w:val="16"/>
                <w:szCs w:val="16"/>
                <w:color w:val="auto"/>
              </w:rPr>
            </w:pPr>
          </w:p>
        </w:tc>
        <w:tc>
          <w:tcPr>
            <w:tcW w:w="17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372,384</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779,871</w:t>
            </w:r>
          </w:p>
        </w:tc>
        <w:tc>
          <w:tcPr>
            <w:tcW w:w="380" w:type="dxa"/>
            <w:vAlign w:val="bottom"/>
          </w:tcPr>
          <w:p>
            <w:pPr>
              <w:spacing w:after="0"/>
              <w:rPr>
                <w:sz w:val="16"/>
                <w:szCs w:val="16"/>
                <w:color w:val="auto"/>
              </w:rPr>
            </w:pPr>
          </w:p>
        </w:tc>
        <w:tc>
          <w:tcPr>
            <w:tcW w:w="17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1,264,371</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2,792,852</w:t>
            </w:r>
          </w:p>
        </w:tc>
        <w:tc>
          <w:tcPr>
            <w:tcW w:w="380" w:type="dxa"/>
            <w:vAlign w:val="bottom"/>
          </w:tcPr>
          <w:p>
            <w:pPr>
              <w:spacing w:after="0"/>
              <w:rPr>
                <w:sz w:val="16"/>
                <w:szCs w:val="16"/>
                <w:color w:val="auto"/>
              </w:rPr>
            </w:pP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2,792,852</w:t>
            </w:r>
          </w:p>
        </w:tc>
        <w:tc>
          <w:tcPr>
            <w:tcW w:w="980" w:type="dxa"/>
            <w:vAlign w:val="bottom"/>
          </w:tcPr>
          <w:p>
            <w:pPr>
              <w:spacing w:after="0"/>
              <w:rPr>
                <w:sz w:val="16"/>
                <w:szCs w:val="16"/>
                <w:color w:val="auto"/>
              </w:rPr>
            </w:pPr>
          </w:p>
        </w:tc>
      </w:tr>
      <w:tr>
        <w:trPr>
          <w:trHeight w:val="188"/>
        </w:trPr>
        <w:tc>
          <w:tcPr>
            <w:tcW w:w="3520" w:type="dxa"/>
            <w:vAlign w:val="bottom"/>
          </w:tcPr>
          <w:p>
            <w:pPr>
              <w:spacing w:after="0"/>
              <w:rPr>
                <w:sz w:val="16"/>
                <w:szCs w:val="16"/>
                <w:color w:val="auto"/>
              </w:rPr>
            </w:pP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760" w:type="dxa"/>
            <w:vAlign w:val="bottom"/>
          </w:tcPr>
          <w:p>
            <w:pPr>
              <w:spacing w:after="0"/>
              <w:rPr>
                <w:sz w:val="16"/>
                <w:szCs w:val="16"/>
                <w:color w:val="auto"/>
              </w:rPr>
            </w:pP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r>
      <w:tr>
        <w:trPr>
          <w:trHeight w:val="188"/>
        </w:trPr>
        <w:tc>
          <w:tcPr>
            <w:tcW w:w="39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10,577,716</w:t>
            </w:r>
          </w:p>
        </w:tc>
        <w:tc>
          <w:tcPr>
            <w:tcW w:w="27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11,062,216</w:t>
            </w:r>
          </w:p>
        </w:tc>
      </w:tr>
      <w:tr>
        <w:trPr>
          <w:trHeight w:val="188"/>
        </w:trPr>
        <w:tc>
          <w:tcPr>
            <w:tcW w:w="3520" w:type="dxa"/>
            <w:vAlign w:val="bottom"/>
          </w:tcPr>
          <w:p>
            <w:pPr>
              <w:spacing w:after="0"/>
              <w:rPr>
                <w:sz w:val="16"/>
                <w:szCs w:val="16"/>
                <w:color w:val="auto"/>
              </w:rPr>
            </w:pPr>
          </w:p>
        </w:tc>
        <w:tc>
          <w:tcPr>
            <w:tcW w:w="2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671,048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671,048</w:t>
            </w:r>
          </w:p>
        </w:tc>
      </w:tr>
      <w:tr>
        <w:trPr>
          <w:trHeight w:val="188"/>
        </w:trPr>
        <w:tc>
          <w:tcPr>
            <w:tcW w:w="35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903,137</w:t>
            </w:r>
          </w:p>
        </w:tc>
        <w:tc>
          <w:tcPr>
            <w:tcW w:w="380" w:type="dxa"/>
            <w:vAlign w:val="bottom"/>
          </w:tcPr>
          <w:p>
            <w:pPr>
              <w:spacing w:after="0"/>
              <w:rPr>
                <w:sz w:val="16"/>
                <w:szCs w:val="16"/>
                <w:color w:val="auto"/>
              </w:rPr>
            </w:pPr>
          </w:p>
        </w:tc>
        <w:tc>
          <w:tcPr>
            <w:tcW w:w="17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903,137</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927,032</w:t>
            </w:r>
          </w:p>
        </w:tc>
        <w:tc>
          <w:tcPr>
            <w:tcW w:w="380" w:type="dxa"/>
            <w:vAlign w:val="bottom"/>
          </w:tcPr>
          <w:p>
            <w:pPr>
              <w:spacing w:after="0"/>
              <w:rPr>
                <w:sz w:val="16"/>
                <w:szCs w:val="16"/>
                <w:color w:val="auto"/>
              </w:rPr>
            </w:pP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904,503</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1299"/>
              <w:spacing w:after="0"/>
              <w:rPr>
                <w:sz w:val="20"/>
                <w:szCs w:val="20"/>
                <w:color w:val="auto"/>
              </w:rPr>
            </w:pPr>
            <w:r>
              <w:rPr>
                <w:rFonts w:ascii="Courier New" w:cs="Courier New" w:eastAsia="Courier New" w:hAnsi="Courier New"/>
                <w:sz w:val="16"/>
                <w:szCs w:val="16"/>
                <w:color w:val="auto"/>
              </w:rPr>
              <w:t>2,280,170</w:t>
            </w:r>
          </w:p>
        </w:tc>
        <w:tc>
          <w:tcPr>
            <w:tcW w:w="2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2,257,641</w:t>
            </w:r>
          </w:p>
        </w:tc>
        <w:tc>
          <w:tcPr>
            <w:tcW w:w="980" w:type="dxa"/>
            <w:vAlign w:val="bottom"/>
          </w:tcPr>
          <w:p>
            <w:pPr>
              <w:spacing w:after="0"/>
              <w:rPr>
                <w:sz w:val="16"/>
                <w:szCs w:val="16"/>
                <w:color w:val="auto"/>
              </w:rPr>
            </w:pPr>
          </w:p>
        </w:tc>
      </w:tr>
      <w:tr>
        <w:trPr>
          <w:trHeight w:val="188"/>
        </w:trPr>
        <w:tc>
          <w:tcPr>
            <w:tcW w:w="3520" w:type="dxa"/>
            <w:vAlign w:val="bottom"/>
          </w:tcPr>
          <w:p>
            <w:pPr>
              <w:ind w:left="2340"/>
              <w:spacing w:after="0"/>
              <w:rPr>
                <w:sz w:val="20"/>
                <w:szCs w:val="20"/>
                <w:color w:val="auto"/>
              </w:rPr>
            </w:pPr>
            <w:r>
              <w:rPr>
                <w:rFonts w:ascii="Courier New" w:cs="Courier New" w:eastAsia="Courier New" w:hAnsi="Courier New"/>
                <w:sz w:val="16"/>
                <w:szCs w:val="16"/>
                <w:color w:val="auto"/>
              </w:rPr>
              <w:t>379,000</w:t>
            </w:r>
          </w:p>
        </w:tc>
        <w:tc>
          <w:tcPr>
            <w:tcW w:w="380" w:type="dxa"/>
            <w:vAlign w:val="bottom"/>
          </w:tcPr>
          <w:p>
            <w:pPr>
              <w:spacing w:after="0"/>
              <w:rPr>
                <w:sz w:val="16"/>
                <w:szCs w:val="16"/>
                <w:color w:val="auto"/>
              </w:rPr>
            </w:pPr>
          </w:p>
        </w:tc>
        <w:tc>
          <w:tcPr>
            <w:tcW w:w="1760" w:type="dxa"/>
            <w:vAlign w:val="bottom"/>
          </w:tcPr>
          <w:p>
            <w:pPr>
              <w:ind w:left="780"/>
              <w:spacing w:after="0"/>
              <w:rPr>
                <w:sz w:val="20"/>
                <w:szCs w:val="20"/>
                <w:color w:val="auto"/>
              </w:rPr>
            </w:pPr>
            <w:r>
              <w:rPr>
                <w:rFonts w:ascii="Courier New" w:cs="Courier New" w:eastAsia="Courier New" w:hAnsi="Courier New"/>
                <w:sz w:val="16"/>
                <w:szCs w:val="16"/>
                <w:color w:val="auto"/>
              </w:rPr>
              <w:t>379,000</w:t>
            </w:r>
          </w:p>
        </w:tc>
        <w:tc>
          <w:tcPr>
            <w:tcW w:w="980" w:type="dxa"/>
            <w:vAlign w:val="bottom"/>
          </w:tcPr>
          <w:p>
            <w:pPr>
              <w:spacing w:after="0"/>
              <w:rPr>
                <w:sz w:val="16"/>
                <w:szCs w:val="16"/>
                <w:color w:val="auto"/>
              </w:rPr>
            </w:pPr>
          </w:p>
        </w:tc>
      </w:tr>
      <w:tr>
        <w:trPr>
          <w:trHeight w:val="188"/>
        </w:trPr>
        <w:tc>
          <w:tcPr>
            <w:tcW w:w="5660" w:type="dxa"/>
            <w:vAlign w:val="bottom"/>
            <w:gridSpan w:val="3"/>
          </w:tcPr>
          <w:p>
            <w:pPr>
              <w:jc w:val="right"/>
              <w:ind w:right="1579"/>
              <w:spacing w:after="0"/>
              <w:rPr>
                <w:sz w:val="20"/>
                <w:szCs w:val="20"/>
                <w:color w:val="auto"/>
              </w:rPr>
            </w:pPr>
            <w:r>
              <w:rPr>
                <w:rFonts w:ascii="Courier New" w:cs="Courier New" w:eastAsia="Courier New" w:hAnsi="Courier New"/>
                <w:sz w:val="16"/>
                <w:szCs w:val="16"/>
                <w:color w:val="auto"/>
              </w:rPr>
              <w:t>239,700</w:t>
            </w:r>
          </w:p>
        </w:tc>
        <w:tc>
          <w:tcPr>
            <w:tcW w:w="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239,700</w:t>
            </w:r>
          </w:p>
        </w:tc>
      </w:tr>
      <w:tr>
        <w:trPr>
          <w:trHeight w:val="188"/>
        </w:trPr>
        <w:tc>
          <w:tcPr>
            <w:tcW w:w="3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3,910,661</w:t>
            </w:r>
          </w:p>
        </w:tc>
        <w:tc>
          <w:tcPr>
            <w:tcW w:w="380" w:type="dxa"/>
            <w:vAlign w:val="bottom"/>
          </w:tcPr>
          <w:p>
            <w:pPr>
              <w:spacing w:after="0"/>
              <w:rPr>
                <w:sz w:val="16"/>
                <w:szCs w:val="16"/>
                <w:color w:val="auto"/>
              </w:rPr>
            </w:pPr>
          </w:p>
        </w:tc>
        <w:tc>
          <w:tcPr>
            <w:tcW w:w="1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3,910,661</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233,000</w:t>
            </w:r>
          </w:p>
        </w:tc>
        <w:tc>
          <w:tcPr>
            <w:tcW w:w="3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717,500</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spacing w:after="0"/>
              <w:rPr>
                <w:sz w:val="16"/>
                <w:szCs w:val="16"/>
                <w:color w:val="auto"/>
              </w:rPr>
            </w:pPr>
          </w:p>
        </w:tc>
        <w:tc>
          <w:tcPr>
            <w:tcW w:w="17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1299"/>
              <w:spacing w:after="0"/>
              <w:rPr>
                <w:sz w:val="20"/>
                <w:szCs w:val="20"/>
                <w:color w:val="auto"/>
              </w:rPr>
            </w:pPr>
            <w:r>
              <w:rPr>
                <w:rFonts w:ascii="Courier New" w:cs="Courier New" w:eastAsia="Courier New" w:hAnsi="Courier New"/>
                <w:sz w:val="16"/>
                <w:szCs w:val="16"/>
                <w:color w:val="auto"/>
              </w:rPr>
              <w:t>69,500</w:t>
            </w:r>
          </w:p>
        </w:tc>
        <w:tc>
          <w:tcPr>
            <w:tcW w:w="380" w:type="dxa"/>
            <w:vAlign w:val="bottom"/>
          </w:tcPr>
          <w:p>
            <w:pPr>
              <w:spacing w:after="0"/>
              <w:rPr>
                <w:sz w:val="16"/>
                <w:szCs w:val="16"/>
                <w:color w:val="auto"/>
              </w:rPr>
            </w:pPr>
          </w:p>
        </w:tc>
        <w:tc>
          <w:tcPr>
            <w:tcW w:w="1760" w:type="dxa"/>
            <w:vAlign w:val="bottom"/>
          </w:tcPr>
          <w:p>
            <w:pPr>
              <w:spacing w:after="0"/>
              <w:rPr>
                <w:sz w:val="20"/>
                <w:szCs w:val="20"/>
                <w:color w:val="auto"/>
              </w:rPr>
            </w:pPr>
            <w:r>
              <w:rPr>
                <w:rFonts w:ascii="Courier New" w:cs="Courier New" w:eastAsia="Courier New" w:hAnsi="Courier New"/>
                <w:sz w:val="16"/>
                <w:szCs w:val="16"/>
                <w:color w:val="auto"/>
              </w:rPr>
              <w:t>69,500</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1199"/>
              <w:spacing w:after="0"/>
              <w:rPr>
                <w:sz w:val="20"/>
                <w:szCs w:val="20"/>
                <w:color w:val="auto"/>
              </w:rPr>
            </w:pPr>
            <w:r>
              <w:rPr>
                <w:rFonts w:ascii="Courier New" w:cs="Courier New" w:eastAsia="Courier New" w:hAnsi="Courier New"/>
                <w:sz w:val="16"/>
                <w:szCs w:val="16"/>
                <w:color w:val="auto"/>
              </w:rPr>
              <w:t>282,527</w:t>
            </w:r>
          </w:p>
        </w:tc>
        <w:tc>
          <w:tcPr>
            <w:tcW w:w="380" w:type="dxa"/>
            <w:vAlign w:val="bottom"/>
          </w:tcPr>
          <w:p>
            <w:pPr>
              <w:spacing w:after="0"/>
              <w:rPr>
                <w:sz w:val="16"/>
                <w:szCs w:val="16"/>
                <w:color w:val="auto"/>
              </w:rPr>
            </w:pPr>
          </w:p>
        </w:tc>
        <w:tc>
          <w:tcPr>
            <w:tcW w:w="1760" w:type="dxa"/>
            <w:vAlign w:val="bottom"/>
          </w:tcPr>
          <w:p>
            <w:pPr>
              <w:spacing w:after="0"/>
              <w:rPr>
                <w:sz w:val="20"/>
                <w:szCs w:val="20"/>
                <w:color w:val="auto"/>
              </w:rPr>
            </w:pPr>
            <w:r>
              <w:rPr>
                <w:rFonts w:ascii="Courier New" w:cs="Courier New" w:eastAsia="Courier New" w:hAnsi="Courier New"/>
                <w:sz w:val="16"/>
                <w:szCs w:val="16"/>
                <w:color w:val="auto"/>
              </w:rPr>
              <w:t>282,527</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1,500</w:t>
            </w:r>
          </w:p>
        </w:tc>
        <w:tc>
          <w:tcPr>
            <w:tcW w:w="380" w:type="dxa"/>
            <w:vAlign w:val="bottom"/>
          </w:tcPr>
          <w:p>
            <w:pPr>
              <w:spacing w:after="0"/>
              <w:rPr>
                <w:sz w:val="16"/>
                <w:szCs w:val="16"/>
                <w:color w:val="auto"/>
              </w:rPr>
            </w:pPr>
          </w:p>
        </w:tc>
        <w:tc>
          <w:tcPr>
            <w:tcW w:w="17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1,500</w:t>
            </w:r>
          </w:p>
        </w:tc>
        <w:tc>
          <w:tcPr>
            <w:tcW w:w="980" w:type="dxa"/>
            <w:vAlign w:val="bottom"/>
          </w:tcPr>
          <w:p>
            <w:pPr>
              <w:spacing w:after="0"/>
              <w:rPr>
                <w:sz w:val="16"/>
                <w:szCs w:val="16"/>
                <w:color w:val="auto"/>
              </w:rPr>
            </w:pPr>
          </w:p>
        </w:tc>
      </w:tr>
      <w:tr>
        <w:trPr>
          <w:trHeight w:val="188"/>
        </w:trPr>
        <w:tc>
          <w:tcPr>
            <w:tcW w:w="3520" w:type="dxa"/>
            <w:vAlign w:val="bottom"/>
          </w:tcPr>
          <w:p>
            <w:pPr>
              <w:jc w:val="center"/>
              <w:ind w:left="599"/>
              <w:spacing w:after="0"/>
              <w:rPr>
                <w:sz w:val="20"/>
                <w:szCs w:val="20"/>
                <w:color w:val="auto"/>
              </w:rPr>
            </w:pPr>
            <w:r>
              <w:rPr>
                <w:rFonts w:ascii="Courier New" w:cs="Courier New" w:eastAsia="Courier New" w:hAnsi="Courier New"/>
                <w:sz w:val="16"/>
                <w:szCs w:val="16"/>
                <w:color w:val="auto"/>
              </w:rPr>
              <w:t>179,224</w:t>
            </w:r>
          </w:p>
        </w:tc>
        <w:tc>
          <w:tcPr>
            <w:tcW w:w="380" w:type="dxa"/>
            <w:vAlign w:val="bottom"/>
          </w:tcPr>
          <w:p>
            <w:pPr>
              <w:spacing w:after="0"/>
              <w:rPr>
                <w:sz w:val="16"/>
                <w:szCs w:val="16"/>
                <w:color w:val="auto"/>
              </w:rPr>
            </w:pPr>
          </w:p>
        </w:tc>
        <w:tc>
          <w:tcPr>
            <w:tcW w:w="17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179,224</w:t>
            </w:r>
          </w:p>
        </w:tc>
        <w:tc>
          <w:tcPr>
            <w:tcW w:w="980" w:type="dxa"/>
            <w:vAlign w:val="bottom"/>
          </w:tcPr>
          <w:p>
            <w:pPr>
              <w:spacing w:after="0"/>
              <w:rPr>
                <w:sz w:val="16"/>
                <w:szCs w:val="16"/>
                <w:color w:val="auto"/>
              </w:rPr>
            </w:pPr>
          </w:p>
        </w:tc>
      </w:tr>
      <w:tr>
        <w:trPr>
          <w:trHeight w:val="188"/>
        </w:trPr>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rPr>
              <w:t>72,388</w:t>
            </w:r>
          </w:p>
        </w:tc>
        <w:tc>
          <w:tcPr>
            <w:tcW w:w="380" w:type="dxa"/>
            <w:vAlign w:val="bottom"/>
          </w:tcPr>
          <w:p>
            <w:pPr>
              <w:spacing w:after="0"/>
              <w:rPr>
                <w:sz w:val="16"/>
                <w:szCs w:val="16"/>
                <w:color w:val="auto"/>
              </w:rPr>
            </w:pPr>
          </w:p>
        </w:tc>
        <w:tc>
          <w:tcPr>
            <w:tcW w:w="274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72,388</w:t>
            </w:r>
          </w:p>
        </w:tc>
      </w:tr>
      <w:tr>
        <w:trPr>
          <w:trHeight w:val="188"/>
        </w:trPr>
        <w:tc>
          <w:tcPr>
            <w:tcW w:w="3520" w:type="dxa"/>
            <w:vAlign w:val="bottom"/>
          </w:tcPr>
          <w:p>
            <w:pPr>
              <w:jc w:val="right"/>
              <w:ind w:right="1299"/>
              <w:spacing w:after="0"/>
              <w:rPr>
                <w:sz w:val="20"/>
                <w:szCs w:val="20"/>
                <w:color w:val="auto"/>
              </w:rPr>
            </w:pPr>
            <w:r>
              <w:rPr>
                <w:rFonts w:ascii="Courier New" w:cs="Courier New" w:eastAsia="Courier New" w:hAnsi="Courier New"/>
                <w:sz w:val="16"/>
                <w:szCs w:val="16"/>
                <w:color w:val="auto"/>
              </w:rPr>
              <w:t>2,930,046</w:t>
            </w:r>
          </w:p>
        </w:tc>
        <w:tc>
          <w:tcPr>
            <w:tcW w:w="2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2,952,575</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1199"/>
              <w:spacing w:after="0"/>
              <w:rPr>
                <w:sz w:val="20"/>
                <w:szCs w:val="20"/>
                <w:color w:val="auto"/>
              </w:rPr>
            </w:pPr>
            <w:r>
              <w:rPr>
                <w:rFonts w:ascii="Courier New" w:cs="Courier New" w:eastAsia="Courier New" w:hAnsi="Courier New"/>
                <w:sz w:val="16"/>
                <w:szCs w:val="16"/>
                <w:color w:val="auto"/>
              </w:rPr>
              <w:t>10,577,716</w:t>
            </w:r>
          </w:p>
        </w:tc>
        <w:tc>
          <w:tcPr>
            <w:tcW w:w="2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11,062,216</w:t>
            </w:r>
          </w:p>
        </w:tc>
        <w:tc>
          <w:tcPr>
            <w:tcW w:w="980" w:type="dxa"/>
            <w:vAlign w:val="bottom"/>
          </w:tcPr>
          <w:p>
            <w:pPr>
              <w:spacing w:after="0"/>
              <w:rPr>
                <w:sz w:val="16"/>
                <w:szCs w:val="16"/>
                <w:color w:val="auto"/>
              </w:rPr>
            </w:pPr>
          </w:p>
        </w:tc>
      </w:tr>
      <w:tr>
        <w:trPr>
          <w:trHeight w:val="188"/>
        </w:trPr>
        <w:tc>
          <w:tcPr>
            <w:tcW w:w="3520" w:type="dxa"/>
            <w:vAlign w:val="bottom"/>
          </w:tcPr>
          <w:p>
            <w:pPr>
              <w:jc w:val="center"/>
              <w:ind w:left="599"/>
              <w:spacing w:after="0"/>
              <w:rPr>
                <w:sz w:val="20"/>
                <w:szCs w:val="20"/>
                <w:color w:val="auto"/>
              </w:rPr>
            </w:pPr>
            <w:r>
              <w:rPr>
                <w:rFonts w:ascii="Courier New" w:cs="Courier New" w:eastAsia="Courier New" w:hAnsi="Courier New"/>
                <w:sz w:val="16"/>
                <w:szCs w:val="16"/>
                <w:color w:val="auto"/>
              </w:rPr>
              <w:t>3,637,933</w:t>
            </w:r>
          </w:p>
        </w:tc>
        <w:tc>
          <w:tcPr>
            <w:tcW w:w="380" w:type="dxa"/>
            <w:vAlign w:val="bottom"/>
          </w:tcPr>
          <w:p>
            <w:pPr>
              <w:spacing w:after="0"/>
              <w:rPr>
                <w:sz w:val="16"/>
                <w:szCs w:val="16"/>
                <w:color w:val="auto"/>
              </w:rPr>
            </w:pPr>
          </w:p>
        </w:tc>
        <w:tc>
          <w:tcPr>
            <w:tcW w:w="17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3,637,933</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286,791</w:t>
            </w:r>
          </w:p>
        </w:tc>
        <w:tc>
          <w:tcPr>
            <w:tcW w:w="380" w:type="dxa"/>
            <w:vAlign w:val="bottom"/>
          </w:tcPr>
          <w:p>
            <w:pPr>
              <w:spacing w:after="0"/>
              <w:rPr>
                <w:sz w:val="16"/>
                <w:szCs w:val="16"/>
                <w:color w:val="auto"/>
              </w:rPr>
            </w:pPr>
          </w:p>
        </w:tc>
        <w:tc>
          <w:tcPr>
            <w:tcW w:w="1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271,771</w:t>
            </w:r>
          </w:p>
        </w:tc>
        <w:tc>
          <w:tcPr>
            <w:tcW w:w="980" w:type="dxa"/>
            <w:vAlign w:val="bottom"/>
          </w:tcPr>
          <w:p>
            <w:pPr>
              <w:spacing w:after="0"/>
              <w:rPr>
                <w:sz w:val="16"/>
                <w:szCs w:val="16"/>
                <w:color w:val="auto"/>
              </w:rPr>
            </w:pPr>
          </w:p>
        </w:tc>
      </w:tr>
      <w:tr>
        <w:trPr>
          <w:trHeight w:val="188"/>
        </w:trPr>
        <w:tc>
          <w:tcPr>
            <w:tcW w:w="3520" w:type="dxa"/>
            <w:vAlign w:val="bottom"/>
          </w:tcPr>
          <w:p>
            <w:pPr>
              <w:jc w:val="center"/>
              <w:ind w:left="599"/>
              <w:spacing w:after="0"/>
              <w:rPr>
                <w:sz w:val="20"/>
                <w:szCs w:val="20"/>
                <w:color w:val="auto"/>
              </w:rPr>
            </w:pPr>
            <w:r>
              <w:rPr>
                <w:rFonts w:ascii="Courier New" w:cs="Courier New" w:eastAsia="Courier New" w:hAnsi="Courier New"/>
                <w:sz w:val="16"/>
                <w:szCs w:val="16"/>
                <w:color w:val="auto"/>
              </w:rPr>
              <w:t>2,830,932</w:t>
            </w:r>
          </w:p>
        </w:tc>
        <w:tc>
          <w:tcPr>
            <w:tcW w:w="380" w:type="dxa"/>
            <w:vAlign w:val="bottom"/>
          </w:tcPr>
          <w:p>
            <w:pPr>
              <w:spacing w:after="0"/>
              <w:rPr>
                <w:sz w:val="16"/>
                <w:szCs w:val="16"/>
                <w:color w:val="auto"/>
              </w:rPr>
            </w:pPr>
          </w:p>
        </w:tc>
        <w:tc>
          <w:tcPr>
            <w:tcW w:w="17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2,830,932</w:t>
            </w:r>
          </w:p>
        </w:tc>
        <w:tc>
          <w:tcPr>
            <w:tcW w:w="980" w:type="dxa"/>
            <w:vAlign w:val="bottom"/>
          </w:tcPr>
          <w:p>
            <w:pPr>
              <w:spacing w:after="0"/>
              <w:rPr>
                <w:sz w:val="16"/>
                <w:szCs w:val="16"/>
                <w:color w:val="auto"/>
              </w:rPr>
            </w:pPr>
          </w:p>
        </w:tc>
      </w:tr>
      <w:tr>
        <w:trPr>
          <w:trHeight w:val="188"/>
        </w:trPr>
        <w:tc>
          <w:tcPr>
            <w:tcW w:w="3520" w:type="dxa"/>
            <w:vAlign w:val="bottom"/>
          </w:tcPr>
          <w:p>
            <w:pPr>
              <w:jc w:val="center"/>
              <w:ind w:left="599"/>
              <w:spacing w:after="0"/>
              <w:rPr>
                <w:sz w:val="20"/>
                <w:szCs w:val="20"/>
                <w:color w:val="auto"/>
              </w:rPr>
            </w:pPr>
            <w:r>
              <w:rPr>
                <w:rFonts w:ascii="Courier New" w:cs="Courier New" w:eastAsia="Courier New" w:hAnsi="Courier New"/>
                <w:sz w:val="16"/>
                <w:szCs w:val="16"/>
                <w:color w:val="auto"/>
              </w:rPr>
              <w:t>3,117,723</w:t>
            </w:r>
          </w:p>
        </w:tc>
        <w:tc>
          <w:tcPr>
            <w:tcW w:w="380" w:type="dxa"/>
            <w:vAlign w:val="bottom"/>
          </w:tcPr>
          <w:p>
            <w:pPr>
              <w:spacing w:after="0"/>
              <w:rPr>
                <w:sz w:val="16"/>
                <w:szCs w:val="16"/>
                <w:color w:val="auto"/>
              </w:rPr>
            </w:pPr>
          </w:p>
        </w:tc>
        <w:tc>
          <w:tcPr>
            <w:tcW w:w="17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3,102,703</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520,210</w:t>
            </w:r>
          </w:p>
        </w:tc>
        <w:tc>
          <w:tcPr>
            <w:tcW w:w="380" w:type="dxa"/>
            <w:vAlign w:val="bottom"/>
          </w:tcPr>
          <w:p>
            <w:pPr>
              <w:spacing w:after="0"/>
              <w:rPr>
                <w:sz w:val="16"/>
                <w:szCs w:val="16"/>
                <w:color w:val="auto"/>
              </w:rPr>
            </w:pPr>
          </w:p>
        </w:tc>
        <w:tc>
          <w:tcPr>
            <w:tcW w:w="17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535,230</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84,061</w:t>
            </w:r>
          </w:p>
        </w:tc>
        <w:tc>
          <w:tcPr>
            <w:tcW w:w="3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84,061</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1299"/>
              <w:spacing w:after="0"/>
              <w:rPr>
                <w:sz w:val="20"/>
                <w:szCs w:val="20"/>
                <w:color w:val="auto"/>
              </w:rPr>
            </w:pPr>
            <w:r>
              <w:rPr>
                <w:rFonts w:ascii="Courier New" w:cs="Courier New" w:eastAsia="Courier New" w:hAnsi="Courier New"/>
                <w:sz w:val="16"/>
                <w:szCs w:val="16"/>
                <w:color w:val="auto"/>
              </w:rPr>
              <w:t>604,271</w:t>
            </w:r>
          </w:p>
        </w:tc>
        <w:tc>
          <w:tcPr>
            <w:tcW w:w="21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619,291</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279,573</w:t>
            </w:r>
          </w:p>
        </w:tc>
        <w:tc>
          <w:tcPr>
            <w:tcW w:w="380" w:type="dxa"/>
            <w:vAlign w:val="bottom"/>
          </w:tcPr>
          <w:p>
            <w:pPr>
              <w:spacing w:after="0"/>
              <w:rPr>
                <w:sz w:val="16"/>
                <w:szCs w:val="16"/>
                <w:color w:val="auto"/>
              </w:rPr>
            </w:pP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317,122</w:t>
            </w:r>
          </w:p>
        </w:tc>
        <w:tc>
          <w:tcPr>
            <w:tcW w:w="980" w:type="dxa"/>
            <w:vAlign w:val="bottom"/>
          </w:tcPr>
          <w:p>
            <w:pPr>
              <w:spacing w:after="0"/>
              <w:rPr>
                <w:sz w:val="16"/>
                <w:szCs w:val="16"/>
                <w:color w:val="auto"/>
              </w:rPr>
            </w:pPr>
          </w:p>
        </w:tc>
      </w:tr>
      <w:tr>
        <w:trPr>
          <w:trHeight w:val="188"/>
        </w:trPr>
        <w:tc>
          <w:tcPr>
            <w:tcW w:w="3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324,698</w:t>
            </w:r>
          </w:p>
        </w:tc>
        <w:tc>
          <w:tcPr>
            <w:tcW w:w="2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302,169</w:t>
            </w:r>
          </w:p>
        </w:tc>
      </w:tr>
      <w:tr>
        <w:trPr>
          <w:trHeight w:val="188"/>
        </w:trPr>
        <w:tc>
          <w:tcPr>
            <w:tcW w:w="352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44,918</w:t>
            </w:r>
          </w:p>
        </w:tc>
        <w:tc>
          <w:tcPr>
            <w:tcW w:w="3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44,918</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1199"/>
              <w:spacing w:after="0"/>
              <w:rPr>
                <w:sz w:val="20"/>
                <w:szCs w:val="20"/>
                <w:color w:val="auto"/>
              </w:rPr>
            </w:pPr>
            <w:r>
              <w:rPr>
                <w:rFonts w:ascii="Courier New" w:cs="Courier New" w:eastAsia="Courier New" w:hAnsi="Courier New"/>
                <w:sz w:val="16"/>
                <w:szCs w:val="16"/>
                <w:color w:val="auto"/>
              </w:rPr>
              <w:t>279,780</w:t>
            </w:r>
          </w:p>
        </w:tc>
        <w:tc>
          <w:tcPr>
            <w:tcW w:w="380" w:type="dxa"/>
            <w:vAlign w:val="bottom"/>
          </w:tcPr>
          <w:p>
            <w:pPr>
              <w:spacing w:after="0"/>
              <w:rPr>
                <w:sz w:val="16"/>
                <w:szCs w:val="16"/>
                <w:color w:val="auto"/>
              </w:rPr>
            </w:pPr>
          </w:p>
        </w:tc>
        <w:tc>
          <w:tcPr>
            <w:tcW w:w="1760" w:type="dxa"/>
            <w:vAlign w:val="bottom"/>
          </w:tcPr>
          <w:p>
            <w:pPr>
              <w:spacing w:after="0"/>
              <w:rPr>
                <w:sz w:val="20"/>
                <w:szCs w:val="20"/>
                <w:color w:val="auto"/>
              </w:rPr>
            </w:pPr>
            <w:r>
              <w:rPr>
                <w:rFonts w:ascii="Courier New" w:cs="Courier New" w:eastAsia="Courier New" w:hAnsi="Courier New"/>
                <w:sz w:val="16"/>
                <w:szCs w:val="16"/>
                <w:color w:val="auto"/>
              </w:rPr>
              <w:t>257,251</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218,822</w:t>
            </w:r>
          </w:p>
        </w:tc>
        <w:tc>
          <w:tcPr>
            <w:tcW w:w="380" w:type="dxa"/>
            <w:vAlign w:val="bottom"/>
          </w:tcPr>
          <w:p>
            <w:pPr>
              <w:spacing w:after="0"/>
              <w:rPr>
                <w:sz w:val="16"/>
                <w:szCs w:val="16"/>
                <w:color w:val="auto"/>
              </w:rPr>
            </w:pP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218,822</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321,066</w:t>
            </w:r>
          </w:p>
        </w:tc>
        <w:tc>
          <w:tcPr>
            <w:tcW w:w="380" w:type="dxa"/>
            <w:vAlign w:val="bottom"/>
          </w:tcPr>
          <w:p>
            <w:pPr>
              <w:spacing w:after="0"/>
              <w:rPr>
                <w:sz w:val="16"/>
                <w:szCs w:val="16"/>
                <w:color w:val="auto"/>
              </w:rPr>
            </w:pPr>
          </w:p>
        </w:tc>
        <w:tc>
          <w:tcPr>
            <w:tcW w:w="17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321,066</w:t>
            </w:r>
          </w:p>
        </w:tc>
        <w:tc>
          <w:tcPr>
            <w:tcW w:w="980" w:type="dxa"/>
            <w:vAlign w:val="bottom"/>
          </w:tcPr>
          <w:p>
            <w:pPr>
              <w:spacing w:after="0"/>
              <w:rPr>
                <w:sz w:val="16"/>
                <w:szCs w:val="16"/>
                <w:color w:val="auto"/>
              </w:rPr>
            </w:pPr>
          </w:p>
        </w:tc>
      </w:tr>
      <w:tr>
        <w:trPr>
          <w:trHeight w:val="188"/>
        </w:trPr>
        <w:tc>
          <w:tcPr>
            <w:tcW w:w="35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spacing w:after="0"/>
              <w:rPr>
                <w:sz w:val="16"/>
                <w:szCs w:val="16"/>
                <w:color w:val="auto"/>
              </w:rPr>
            </w:pPr>
          </w:p>
        </w:tc>
        <w:tc>
          <w:tcPr>
            <w:tcW w:w="17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980" w:type="dxa"/>
            <w:vAlign w:val="bottom"/>
          </w:tcPr>
          <w:p>
            <w:pPr>
              <w:spacing w:after="0"/>
              <w:rPr>
                <w:sz w:val="16"/>
                <w:szCs w:val="16"/>
                <w:color w:val="auto"/>
              </w:rPr>
            </w:pPr>
          </w:p>
        </w:tc>
      </w:tr>
      <w:tr>
        <w:trPr>
          <w:trHeight w:val="188"/>
        </w:trPr>
        <w:tc>
          <w:tcPr>
            <w:tcW w:w="35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2.25</w:t>
            </w:r>
          </w:p>
        </w:tc>
        <w:tc>
          <w:tcPr>
            <w:tcW w:w="1760" w:type="dxa"/>
            <w:vAlign w:val="bottom"/>
          </w:tcPr>
          <w:p>
            <w:pPr>
              <w:spacing w:after="0"/>
              <w:rPr>
                <w:sz w:val="16"/>
                <w:szCs w:val="16"/>
                <w:color w:val="auto"/>
              </w:rPr>
            </w:pP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2.07</w:t>
            </w:r>
          </w:p>
        </w:tc>
      </w:tr>
      <w:tr>
        <w:trPr>
          <w:trHeight w:val="188"/>
        </w:trPr>
        <w:tc>
          <w:tcPr>
            <w:tcW w:w="35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2.25</w:t>
            </w:r>
          </w:p>
        </w:tc>
        <w:tc>
          <w:tcPr>
            <w:tcW w:w="1760" w:type="dxa"/>
            <w:vAlign w:val="bottom"/>
          </w:tcPr>
          <w:p>
            <w:pPr>
              <w:spacing w:after="0"/>
              <w:rPr>
                <w:sz w:val="16"/>
                <w:szCs w:val="16"/>
                <w:color w:val="auto"/>
              </w:rPr>
            </w:pP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2.07</w:t>
            </w:r>
          </w:p>
        </w:tc>
      </w:tr>
    </w:tbl>
    <w:p>
      <w:pPr>
        <w:sectPr>
          <w:pgSz w:w="11900" w:h="16838" w:orient="portrait"/>
          <w:cols w:equalWidth="0" w:num="1">
            <w:col w:w="10219"/>
          </w:cols>
          <w:pgMar w:left="240" w:top="142" w:right="1440" w:bottom="1440" w:gutter="0" w:footer="0" w:header="0"/>
          <w:type w:val="continuous"/>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5"/>
                <w:szCs w:val="15"/>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Exhibit K</w:t>
            </w:r>
          </w:p>
        </w:tc>
      </w:tr>
      <w:tr>
        <w:trPr>
          <w:trHeight w:val="376"/>
        </w:trPr>
        <w:tc>
          <w:tcPr>
            <w:tcW w:w="5860" w:type="dxa"/>
            <w:vAlign w:val="bottom"/>
            <w:gridSpan w:val="2"/>
          </w:tcPr>
          <w:p>
            <w:pPr>
              <w:ind w:left="1760"/>
              <w:spacing w:after="0"/>
              <w:rPr>
                <w:sz w:val="20"/>
                <w:szCs w:val="20"/>
                <w:color w:val="auto"/>
              </w:rPr>
            </w:pPr>
            <w:r>
              <w:rPr>
                <w:rFonts w:ascii="Courier New" w:cs="Courier New" w:eastAsia="Courier New" w:hAnsi="Courier New"/>
                <w:sz w:val="16"/>
                <w:szCs w:val="16"/>
                <w:color w:val="auto"/>
              </w:rPr>
              <w:t>SCHEDULE OF FEES, COMMISSIONS AND EXPENSES</w:t>
            </w:r>
          </w:p>
        </w:tc>
      </w:tr>
      <w:tr>
        <w:trPr>
          <w:trHeight w:val="564"/>
        </w:trPr>
        <w:tc>
          <w:tcPr>
            <w:tcW w:w="4840" w:type="dxa"/>
            <w:vAlign w:val="bottom"/>
          </w:tcPr>
          <w:p>
            <w:pPr>
              <w:spacing w:after="0"/>
              <w:rPr>
                <w:sz w:val="20"/>
                <w:szCs w:val="20"/>
                <w:color w:val="auto"/>
              </w:rPr>
            </w:pPr>
            <w:r>
              <w:rPr>
                <w:rFonts w:ascii="Courier New" w:cs="Courier New" w:eastAsia="Courier New" w:hAnsi="Courier New"/>
                <w:sz w:val="16"/>
                <w:szCs w:val="16"/>
                <w:color w:val="auto"/>
              </w:rPr>
              <w:t>Securities and Exchange Commission Filing Fee:</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$2,000</w:t>
            </w:r>
          </w:p>
        </w:tc>
      </w:tr>
      <w:tr>
        <w:trPr>
          <w:trHeight w:val="564"/>
        </w:trPr>
        <w:tc>
          <w:tcPr>
            <w:tcW w:w="4840" w:type="dxa"/>
            <w:vAlign w:val="bottom"/>
          </w:tcPr>
          <w:p>
            <w:pPr>
              <w:spacing w:after="0"/>
              <w:rPr>
                <w:sz w:val="20"/>
                <w:szCs w:val="20"/>
                <w:color w:val="auto"/>
              </w:rPr>
            </w:pPr>
            <w:r>
              <w:rPr>
                <w:rFonts w:ascii="Courier New" w:cs="Courier New" w:eastAsia="Courier New" w:hAnsi="Courier New"/>
                <w:sz w:val="16"/>
                <w:szCs w:val="16"/>
                <w:color w:val="auto"/>
              </w:rPr>
              <w:t>Day, Berry &amp; Howard (Legal Fees)</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$20,500</w:t>
            </w:r>
          </w:p>
        </w:tc>
      </w:tr>
      <w:tr>
        <w:trPr>
          <w:trHeight w:val="564"/>
        </w:trPr>
        <w:tc>
          <w:tcPr>
            <w:tcW w:w="4840" w:type="dxa"/>
            <w:vAlign w:val="bottom"/>
          </w:tcPr>
          <w:p>
            <w:pPr>
              <w:spacing w:after="0"/>
              <w:rPr>
                <w:sz w:val="20"/>
                <w:szCs w:val="20"/>
                <w:color w:val="auto"/>
              </w:rPr>
            </w:pPr>
            <w:r>
              <w:rPr>
                <w:rFonts w:ascii="Courier New" w:cs="Courier New" w:eastAsia="Courier New" w:hAnsi="Courier New"/>
                <w:sz w:val="16"/>
                <w:szCs w:val="16"/>
                <w:color w:val="auto"/>
              </w:rPr>
              <w:t>Northeast Utilities Service Company</w:t>
            </w:r>
          </w:p>
        </w:tc>
        <w:tc>
          <w:tcPr>
            <w:tcW w:w="1020" w:type="dxa"/>
            <w:vAlign w:val="bottom"/>
          </w:tcPr>
          <w:p>
            <w:pPr>
              <w:spacing w:after="0"/>
              <w:rPr>
                <w:sz w:val="24"/>
                <w:szCs w:val="24"/>
                <w:color w:val="auto"/>
              </w:rPr>
            </w:pP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(Legal, Financial, Accounting and Other Services)</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$27,500</w:t>
            </w:r>
          </w:p>
        </w:tc>
      </w:tr>
      <w:tr>
        <w:trPr>
          <w:trHeight w:val="564"/>
        </w:trPr>
        <w:tc>
          <w:tcPr>
            <w:tcW w:w="48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$50,000</w:t>
            </w:r>
          </w:p>
        </w:tc>
      </w:tr>
    </w:tbl>
    <w:p>
      <w:pPr>
        <w:sectPr>
          <w:pgSz w:w="11900" w:h="16838" w:orient="portrait"/>
          <w:cols w:equalWidth="0" w:num="1">
            <w:col w:w="10219"/>
          </w:cols>
          <w:pgMar w:left="240" w:top="518" w:right="1440" w:bottom="1440" w:gutter="0" w:footer="0" w:header="0"/>
        </w:sectPr>
      </w:pPr>
    </w:p>
    <w:bookmarkStart w:id="27" w:name="page28"/>
    <w:bookmarkEnd w:id="27"/>
    <w:p>
      <w:pPr>
        <w:spacing w:after="0" w:line="1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NORTHEAST UTILITIES (PARENT)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BALANCE SHEET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AS OF JUNE 30, 1994</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(THOUSANDS OF DOLLARS)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FINANCIAL STATEMENT 1.1.1 PAGE 1 OF 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PRO FORMA</w:t>
            </w:r>
          </w:p>
        </w:tc>
      </w:tr>
      <w:tr>
        <w:trPr>
          <w:trHeight w:val="188"/>
        </w:trPr>
        <w:tc>
          <w:tcPr>
            <w:tcW w:w="19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GIVING EFFECT</w:t>
            </w:r>
          </w:p>
        </w:tc>
      </w:tr>
      <w:tr>
        <w:trPr>
          <w:trHeight w:val="188"/>
        </w:trPr>
        <w:tc>
          <w:tcPr>
            <w:tcW w:w="19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PRO FORMA</w:t>
            </w:r>
          </w:p>
        </w:tc>
        <w:tc>
          <w:tcPr>
            <w:tcW w:w="18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TO PROPOSED</w:t>
            </w:r>
          </w:p>
        </w:tc>
      </w:tr>
      <w:tr>
        <w:trPr>
          <w:trHeight w:val="188"/>
        </w:trPr>
        <w:tc>
          <w:tcPr>
            <w:tcW w:w="19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PER BOOK</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ADJUSTMENTS*</w:t>
            </w:r>
          </w:p>
        </w:tc>
        <w:tc>
          <w:tcPr>
            <w:tcW w:w="18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TRANSACTION</w:t>
            </w:r>
          </w:p>
        </w:tc>
      </w:tr>
      <w:tr>
        <w:trPr>
          <w:trHeight w:val="564"/>
        </w:trPr>
        <w:tc>
          <w:tcPr>
            <w:tcW w:w="19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76"/>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OTHER PROPERTY AND INVESTMENTS:</w:t>
            </w: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42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INVESTMENTS IN SUBSIDIARY COMPANIES,</w:t>
            </w: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1960" w:type="dxa"/>
            <w:vAlign w:val="bottom"/>
          </w:tcPr>
          <w:p>
            <w:pPr>
              <w:ind w:left="580"/>
              <w:spacing w:after="0"/>
              <w:rPr>
                <w:sz w:val="20"/>
                <w:szCs w:val="20"/>
                <w:color w:val="auto"/>
              </w:rPr>
            </w:pPr>
            <w:r>
              <w:rPr>
                <w:rFonts w:ascii="Courier New" w:cs="Courier New" w:eastAsia="Courier New" w:hAnsi="Courier New"/>
                <w:sz w:val="16"/>
                <w:szCs w:val="16"/>
                <w:color w:val="auto"/>
              </w:rPr>
              <w:t>AT EQUITY</w:t>
            </w:r>
          </w:p>
        </w:tc>
        <w:tc>
          <w:tcPr>
            <w:tcW w:w="224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$2,583,268</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($19,053)(d)</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$2,564,215</w:t>
            </w:r>
          </w:p>
        </w:tc>
      </w:tr>
      <w:tr>
        <w:trPr>
          <w:trHeight w:val="188"/>
        </w:trPr>
        <w:tc>
          <w:tcPr>
            <w:tcW w:w="42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INVESTMENTS IN TRANSMISSION</w:t>
            </w: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2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COMPANIES, AT EQUITY</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26,057</w:t>
            </w:r>
          </w:p>
        </w:tc>
        <w:tc>
          <w:tcPr>
            <w:tcW w:w="15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26,057</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OTHER, AT COST</w:t>
            </w:r>
          </w:p>
        </w:tc>
        <w:tc>
          <w:tcPr>
            <w:tcW w:w="224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678</w:t>
            </w:r>
          </w:p>
        </w:tc>
        <w:tc>
          <w:tcPr>
            <w:tcW w:w="15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678</w:t>
            </w:r>
          </w:p>
        </w:tc>
      </w:tr>
      <w:tr>
        <w:trPr>
          <w:trHeight w:val="188"/>
        </w:trPr>
        <w:tc>
          <w:tcPr>
            <w:tcW w:w="19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1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TOTAL OTHER PROPERTY &amp; INVESTMENTS</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2,610,003</w:t>
            </w:r>
          </w:p>
        </w:tc>
        <w:tc>
          <w:tcPr>
            <w:tcW w:w="15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(19,053)</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2,590,950</w:t>
            </w:r>
          </w:p>
        </w:tc>
      </w:tr>
      <w:tr>
        <w:trPr>
          <w:trHeight w:val="564"/>
        </w:trPr>
        <w:tc>
          <w:tcPr>
            <w:tcW w:w="19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42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CASH AND SPECIAL DEPOSITS</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69,000 (a)</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69,048</w:t>
            </w:r>
          </w:p>
        </w:tc>
      </w:tr>
      <w:tr>
        <w:trPr>
          <w:trHeight w:val="188"/>
        </w:trPr>
        <w:tc>
          <w:tcPr>
            <w:tcW w:w="42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NOTES RECEIVABLE FROM AFFILIATED CO'S</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5,525</w:t>
            </w:r>
          </w:p>
        </w:tc>
        <w:tc>
          <w:tcPr>
            <w:tcW w:w="15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5,525</w:t>
            </w:r>
          </w:p>
        </w:tc>
      </w:tr>
      <w:tr>
        <w:trPr>
          <w:trHeight w:val="188"/>
        </w:trPr>
        <w:tc>
          <w:tcPr>
            <w:tcW w:w="42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NOTES AND ACCOUNTS RECEIVABLES</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w:t>
            </w:r>
          </w:p>
        </w:tc>
        <w:tc>
          <w:tcPr>
            <w:tcW w:w="15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w:t>
            </w:r>
          </w:p>
        </w:tc>
      </w:tr>
      <w:tr>
        <w:trPr>
          <w:trHeight w:val="188"/>
        </w:trPr>
        <w:tc>
          <w:tcPr>
            <w:tcW w:w="42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ACCOUNTS RECEIVABLE FROM AFFILIATED CO'S</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691</w:t>
            </w:r>
          </w:p>
        </w:tc>
        <w:tc>
          <w:tcPr>
            <w:tcW w:w="15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691</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PREPAYMENTS</w:t>
            </w:r>
          </w:p>
        </w:tc>
        <w:tc>
          <w:tcPr>
            <w:tcW w:w="224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306</w:t>
            </w:r>
          </w:p>
        </w:tc>
        <w:tc>
          <w:tcPr>
            <w:tcW w:w="15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306</w:t>
            </w:r>
          </w:p>
        </w:tc>
      </w:tr>
      <w:tr>
        <w:trPr>
          <w:trHeight w:val="188"/>
        </w:trPr>
        <w:tc>
          <w:tcPr>
            <w:tcW w:w="19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1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TOTAL CURRENT ASSETS</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6,571</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69,000</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75,571</w:t>
            </w:r>
          </w:p>
        </w:tc>
      </w:tr>
      <w:tr>
        <w:trPr>
          <w:trHeight w:val="188"/>
        </w:trPr>
        <w:tc>
          <w:tcPr>
            <w:tcW w:w="19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1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1960" w:type="dxa"/>
            <w:vAlign w:val="bottom"/>
          </w:tcPr>
          <w:p>
            <w:pPr>
              <w:spacing w:after="0"/>
              <w:rPr>
                <w:sz w:val="20"/>
                <w:szCs w:val="20"/>
                <w:color w:val="auto"/>
              </w:rPr>
            </w:pPr>
            <w:r>
              <w:rPr>
                <w:rFonts w:ascii="Courier New" w:cs="Courier New" w:eastAsia="Courier New" w:hAnsi="Courier New"/>
                <w:sz w:val="16"/>
                <w:szCs w:val="16"/>
                <w:color w:val="auto"/>
              </w:rPr>
              <w:t>DEFERRED CHARGES:</w:t>
            </w:r>
          </w:p>
        </w:tc>
        <w:tc>
          <w:tcPr>
            <w:tcW w:w="2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42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ACCUMULATED DEFERRED INCOME TAXES</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6,729</w:t>
            </w:r>
          </w:p>
        </w:tc>
        <w:tc>
          <w:tcPr>
            <w:tcW w:w="15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6,729</w:t>
            </w:r>
          </w:p>
        </w:tc>
      </w:tr>
      <w:tr>
        <w:trPr>
          <w:trHeight w:val="188"/>
        </w:trPr>
        <w:tc>
          <w:tcPr>
            <w:tcW w:w="42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UNAMORTIZED DEBT EXPENSE</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w:t>
            </w:r>
          </w:p>
        </w:tc>
        <w:tc>
          <w:tcPr>
            <w:tcW w:w="15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43</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OTHER</w:t>
            </w:r>
          </w:p>
        </w:tc>
        <w:tc>
          <w:tcPr>
            <w:tcW w:w="224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w:t>
            </w:r>
          </w:p>
        </w:tc>
        <w:tc>
          <w:tcPr>
            <w:tcW w:w="15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33</w:t>
            </w:r>
          </w:p>
        </w:tc>
      </w:tr>
      <w:tr>
        <w:trPr>
          <w:trHeight w:val="188"/>
        </w:trPr>
        <w:tc>
          <w:tcPr>
            <w:tcW w:w="19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1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TOTAL DEFERRED CHARGES</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6,805</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6,805</w:t>
            </w:r>
          </w:p>
        </w:tc>
      </w:tr>
      <w:tr>
        <w:trPr>
          <w:trHeight w:val="188"/>
        </w:trPr>
        <w:tc>
          <w:tcPr>
            <w:tcW w:w="19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1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1960" w:type="dxa"/>
            <w:vAlign w:val="bottom"/>
          </w:tcPr>
          <w:p>
            <w:pPr>
              <w:ind w:left="580"/>
              <w:spacing w:after="0"/>
              <w:rPr>
                <w:sz w:val="20"/>
                <w:szCs w:val="20"/>
                <w:color w:val="auto"/>
              </w:rPr>
            </w:pPr>
            <w:r>
              <w:rPr>
                <w:rFonts w:ascii="Courier New" w:cs="Courier New" w:eastAsia="Courier New" w:hAnsi="Courier New"/>
                <w:sz w:val="16"/>
                <w:szCs w:val="16"/>
                <w:color w:val="auto"/>
              </w:rPr>
              <w:t>TOTAL ASSETS</w:t>
            </w:r>
          </w:p>
        </w:tc>
        <w:tc>
          <w:tcPr>
            <w:tcW w:w="224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$2,623,379</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$49,947</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$2,673,326</w:t>
            </w:r>
          </w:p>
        </w:tc>
      </w:tr>
      <w:tr>
        <w:trPr>
          <w:trHeight w:val="564"/>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*EXPLANATION AT FINANCIAL STATEMENT 1.2.1</w:t>
            </w:r>
          </w:p>
        </w:tc>
        <w:tc>
          <w:tcPr>
            <w:tcW w:w="17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PAGE 3 OF 3</w:t>
            </w:r>
          </w:p>
        </w:tc>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727"/>
        </w:trPr>
        <w:tc>
          <w:tcPr>
            <w:tcW w:w="1960" w:type="dxa"/>
            <w:vAlign w:val="bottom"/>
          </w:tcPr>
          <w:p>
            <w:pPr>
              <w:spacing w:after="0"/>
              <w:rPr>
                <w:sz w:val="24"/>
                <w:szCs w:val="24"/>
                <w:color w:val="auto"/>
              </w:rPr>
            </w:pPr>
          </w:p>
        </w:tc>
        <w:tc>
          <w:tcPr>
            <w:tcW w:w="5560" w:type="dxa"/>
            <w:vAlign w:val="bottom"/>
            <w:gridSpan w:val="3"/>
          </w:tcPr>
          <w:p>
            <w:pPr>
              <w:ind w:left="1760"/>
              <w:spacing w:after="0"/>
              <w:rPr>
                <w:sz w:val="20"/>
                <w:szCs w:val="20"/>
                <w:color w:val="auto"/>
              </w:rPr>
            </w:pPr>
            <w:r>
              <w:rPr>
                <w:rFonts w:ascii="Courier New" w:cs="Courier New" w:eastAsia="Courier New" w:hAnsi="Courier New"/>
                <w:sz w:val="16"/>
                <w:szCs w:val="16"/>
                <w:color w:val="auto"/>
              </w:rPr>
              <w:t>NORTHEAST UTILITIES (PARENT)</w:t>
            </w:r>
          </w:p>
        </w:tc>
        <w:tc>
          <w:tcPr>
            <w:tcW w:w="1860" w:type="dxa"/>
            <w:vAlign w:val="bottom"/>
          </w:tcPr>
          <w:p>
            <w:pPr>
              <w:spacing w:after="0"/>
              <w:rPr>
                <w:sz w:val="24"/>
                <w:szCs w:val="24"/>
                <w:color w:val="auto"/>
              </w:rPr>
            </w:pPr>
          </w:p>
        </w:tc>
      </w:tr>
      <w:tr>
        <w:trPr>
          <w:trHeight w:val="188"/>
        </w:trPr>
        <w:tc>
          <w:tcPr>
            <w:tcW w:w="1960" w:type="dxa"/>
            <w:vAlign w:val="bottom"/>
          </w:tcPr>
          <w:p>
            <w:pPr>
              <w:spacing w:after="0"/>
              <w:rPr>
                <w:sz w:val="16"/>
                <w:szCs w:val="16"/>
                <w:color w:val="auto"/>
              </w:rPr>
            </w:pPr>
          </w:p>
        </w:tc>
        <w:tc>
          <w:tcPr>
            <w:tcW w:w="4000" w:type="dxa"/>
            <w:vAlign w:val="bottom"/>
            <w:gridSpan w:val="2"/>
          </w:tcPr>
          <w:p>
            <w:pPr>
              <w:ind w:left="1760"/>
              <w:spacing w:after="0"/>
              <w:rPr>
                <w:sz w:val="20"/>
                <w:szCs w:val="20"/>
                <w:color w:val="auto"/>
              </w:rPr>
            </w:pPr>
            <w:r>
              <w:rPr>
                <w:rFonts w:ascii="Courier New" w:cs="Courier New" w:eastAsia="Courier New" w:hAnsi="Courier New"/>
                <w:sz w:val="16"/>
                <w:szCs w:val="16"/>
                <w:color w:val="auto"/>
              </w:rPr>
              <w:t>BALANCE SHEET</w:t>
            </w:r>
          </w:p>
        </w:tc>
        <w:tc>
          <w:tcPr>
            <w:tcW w:w="15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1960" w:type="dxa"/>
            <w:vAlign w:val="bottom"/>
          </w:tcPr>
          <w:p>
            <w:pPr>
              <w:spacing w:after="0"/>
              <w:rPr>
                <w:sz w:val="16"/>
                <w:szCs w:val="16"/>
                <w:color w:val="auto"/>
              </w:rPr>
            </w:pPr>
          </w:p>
        </w:tc>
        <w:tc>
          <w:tcPr>
            <w:tcW w:w="4000" w:type="dxa"/>
            <w:vAlign w:val="bottom"/>
            <w:gridSpan w:val="2"/>
          </w:tcPr>
          <w:p>
            <w:pPr>
              <w:ind w:left="1760"/>
              <w:spacing w:after="0"/>
              <w:rPr>
                <w:sz w:val="20"/>
                <w:szCs w:val="20"/>
                <w:color w:val="auto"/>
              </w:rPr>
            </w:pPr>
            <w:r>
              <w:rPr>
                <w:rFonts w:ascii="Courier New" w:cs="Courier New" w:eastAsia="Courier New" w:hAnsi="Courier New"/>
                <w:sz w:val="16"/>
                <w:szCs w:val="16"/>
                <w:color w:val="auto"/>
              </w:rPr>
              <w:t>AS OF JUNE 30, 1994</w:t>
            </w:r>
          </w:p>
        </w:tc>
        <w:tc>
          <w:tcPr>
            <w:tcW w:w="15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1960" w:type="dxa"/>
            <w:vAlign w:val="bottom"/>
          </w:tcPr>
          <w:p>
            <w:pPr>
              <w:spacing w:after="0"/>
              <w:rPr>
                <w:sz w:val="16"/>
                <w:szCs w:val="16"/>
                <w:color w:val="auto"/>
              </w:rPr>
            </w:pPr>
          </w:p>
        </w:tc>
        <w:tc>
          <w:tcPr>
            <w:tcW w:w="4000" w:type="dxa"/>
            <w:vAlign w:val="bottom"/>
            <w:gridSpan w:val="2"/>
          </w:tcPr>
          <w:p>
            <w:pPr>
              <w:ind w:left="1760"/>
              <w:spacing w:after="0"/>
              <w:rPr>
                <w:sz w:val="20"/>
                <w:szCs w:val="20"/>
                <w:color w:val="auto"/>
              </w:rPr>
            </w:pPr>
            <w:r>
              <w:rPr>
                <w:rFonts w:ascii="Courier New" w:cs="Courier New" w:eastAsia="Courier New" w:hAnsi="Courier New"/>
                <w:sz w:val="16"/>
                <w:szCs w:val="16"/>
                <w:color w:val="auto"/>
              </w:rPr>
              <w:t>(THOUSANDS OF DOLLARS)</w:t>
            </w:r>
          </w:p>
        </w:tc>
        <w:tc>
          <w:tcPr>
            <w:tcW w:w="15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1960" w:type="dxa"/>
            <w:vAlign w:val="bottom"/>
          </w:tcPr>
          <w:p>
            <w:pPr>
              <w:spacing w:after="0"/>
              <w:rPr>
                <w:sz w:val="16"/>
                <w:szCs w:val="16"/>
                <w:color w:val="auto"/>
              </w:rPr>
            </w:pPr>
          </w:p>
        </w:tc>
        <w:tc>
          <w:tcPr>
            <w:tcW w:w="5560" w:type="dxa"/>
            <w:vAlign w:val="bottom"/>
            <w:gridSpan w:val="3"/>
          </w:tcPr>
          <w:p>
            <w:pPr>
              <w:ind w:left="1760"/>
              <w:spacing w:after="0"/>
              <w:rPr>
                <w:sz w:val="20"/>
                <w:szCs w:val="20"/>
                <w:color w:val="auto"/>
              </w:rPr>
            </w:pPr>
            <w:r>
              <w:rPr>
                <w:rFonts w:ascii="Courier New" w:cs="Courier New" w:eastAsia="Courier New" w:hAnsi="Courier New"/>
                <w:sz w:val="16"/>
                <w:szCs w:val="16"/>
                <w:color w:val="auto"/>
              </w:rPr>
              <w:t>FINANCIAL STATEMENT 1.1.1 PAGE 2 OF 2</w:t>
            </w:r>
          </w:p>
        </w:tc>
        <w:tc>
          <w:tcPr>
            <w:tcW w:w="1860" w:type="dxa"/>
            <w:vAlign w:val="bottom"/>
          </w:tcPr>
          <w:p>
            <w:pPr>
              <w:spacing w:after="0"/>
              <w:rPr>
                <w:sz w:val="16"/>
                <w:szCs w:val="16"/>
                <w:color w:val="auto"/>
              </w:rPr>
            </w:pPr>
          </w:p>
        </w:tc>
      </w:tr>
      <w:tr>
        <w:trPr>
          <w:trHeight w:val="376"/>
        </w:trPr>
        <w:tc>
          <w:tcPr>
            <w:tcW w:w="19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PRO FORMA</w:t>
            </w:r>
          </w:p>
        </w:tc>
      </w:tr>
      <w:tr>
        <w:trPr>
          <w:trHeight w:val="188"/>
        </w:trPr>
        <w:tc>
          <w:tcPr>
            <w:tcW w:w="19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GIVING EFFECT</w:t>
            </w:r>
          </w:p>
        </w:tc>
      </w:tr>
      <w:tr>
        <w:trPr>
          <w:trHeight w:val="188"/>
        </w:trPr>
        <w:tc>
          <w:tcPr>
            <w:tcW w:w="19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PRO FORMA</w:t>
            </w:r>
          </w:p>
        </w:tc>
        <w:tc>
          <w:tcPr>
            <w:tcW w:w="18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TO PROPOSED</w:t>
            </w:r>
          </w:p>
        </w:tc>
      </w:tr>
      <w:tr>
        <w:trPr>
          <w:trHeight w:val="188"/>
        </w:trPr>
        <w:tc>
          <w:tcPr>
            <w:tcW w:w="19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PER BOOK</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ADJUSTMENTS*</w:t>
            </w:r>
          </w:p>
        </w:tc>
        <w:tc>
          <w:tcPr>
            <w:tcW w:w="18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TRANSACTION</w:t>
            </w:r>
          </w:p>
        </w:tc>
      </w:tr>
      <w:tr>
        <w:trPr>
          <w:trHeight w:val="564"/>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CAPITALIZATION AND LIABILITIES</w:t>
            </w: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76"/>
        </w:trPr>
        <w:tc>
          <w:tcPr>
            <w:tcW w:w="1960" w:type="dxa"/>
            <w:vAlign w:val="bottom"/>
          </w:tcPr>
          <w:p>
            <w:pPr>
              <w:spacing w:after="0"/>
              <w:rPr>
                <w:sz w:val="20"/>
                <w:szCs w:val="20"/>
                <w:color w:val="auto"/>
              </w:rPr>
            </w:pPr>
            <w:r>
              <w:rPr>
                <w:rFonts w:ascii="Courier New" w:cs="Courier New" w:eastAsia="Courier New" w:hAnsi="Courier New"/>
                <w:sz w:val="16"/>
                <w:szCs w:val="16"/>
                <w:color w:val="auto"/>
              </w:rPr>
              <w:t>CAPITALIZATION:</w:t>
            </w:r>
          </w:p>
        </w:tc>
        <w:tc>
          <w:tcPr>
            <w:tcW w:w="2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COMMON SHARES</w:t>
            </w:r>
          </w:p>
        </w:tc>
        <w:tc>
          <w:tcPr>
            <w:tcW w:w="224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$671,048</w:t>
            </w:r>
          </w:p>
        </w:tc>
        <w:tc>
          <w:tcPr>
            <w:tcW w:w="15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$671,048</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CAPITAL SURPLUS,</w:t>
            </w:r>
          </w:p>
        </w:tc>
        <w:tc>
          <w:tcPr>
            <w:tcW w:w="2240" w:type="dxa"/>
            <w:vAlign w:val="bottom"/>
          </w:tcPr>
          <w:p>
            <w:pPr>
              <w:ind w:left="100"/>
              <w:spacing w:after="0"/>
              <w:rPr>
                <w:sz w:val="20"/>
                <w:szCs w:val="20"/>
                <w:color w:val="auto"/>
              </w:rPr>
            </w:pPr>
            <w:r>
              <w:rPr>
                <w:rFonts w:ascii="Courier New" w:cs="Courier New" w:eastAsia="Courier New" w:hAnsi="Courier New"/>
                <w:sz w:val="16"/>
                <w:szCs w:val="16"/>
                <w:color w:val="auto"/>
              </w:rPr>
              <w:t>PAID IN</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903,137</w:t>
            </w:r>
          </w:p>
        </w:tc>
        <w:tc>
          <w:tcPr>
            <w:tcW w:w="15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903,137</w:t>
            </w:r>
          </w:p>
        </w:tc>
      </w:tr>
      <w:tr>
        <w:trPr>
          <w:trHeight w:val="188"/>
        </w:trPr>
        <w:tc>
          <w:tcPr>
            <w:tcW w:w="42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DEFERRED BENEFIT PLAN - ESOP</w:t>
            </w:r>
          </w:p>
        </w:tc>
        <w:tc>
          <w:tcPr>
            <w:tcW w:w="17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(221,047)</w:t>
            </w:r>
          </w:p>
        </w:tc>
        <w:tc>
          <w:tcPr>
            <w:tcW w:w="1560" w:type="dxa"/>
            <w:vAlign w:val="bottom"/>
          </w:tcPr>
          <w:p>
            <w:pPr>
              <w:spacing w:after="0"/>
              <w:rPr>
                <w:sz w:val="16"/>
                <w:szCs w:val="16"/>
                <w:color w:val="auto"/>
              </w:rPr>
            </w:pPr>
          </w:p>
        </w:tc>
        <w:tc>
          <w:tcPr>
            <w:tcW w:w="18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(221,047)</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RETAINED EARNINGS</w:t>
            </w:r>
          </w:p>
        </w:tc>
        <w:tc>
          <w:tcPr>
            <w:tcW w:w="224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927,032</w:t>
            </w:r>
          </w:p>
        </w:tc>
        <w:tc>
          <w:tcPr>
            <w:tcW w:w="15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(22,529)</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904,503</w:t>
            </w:r>
          </w:p>
        </w:tc>
      </w:tr>
      <w:tr>
        <w:trPr>
          <w:trHeight w:val="188"/>
        </w:trPr>
        <w:tc>
          <w:tcPr>
            <w:tcW w:w="19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1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TOTAL COMMON STOCKHOLDER'S EQUITY</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2,280,170</w:t>
            </w:r>
          </w:p>
        </w:tc>
        <w:tc>
          <w:tcPr>
            <w:tcW w:w="15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(22,529)</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2,257,641</w:t>
            </w:r>
          </w:p>
        </w:tc>
      </w:tr>
      <w:tr>
        <w:trPr>
          <w:trHeight w:val="376"/>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LONG-TERM DEBT,</w:t>
            </w:r>
          </w:p>
        </w:tc>
        <w:tc>
          <w:tcPr>
            <w:tcW w:w="224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230,000</w:t>
            </w:r>
          </w:p>
        </w:tc>
        <w:tc>
          <w:tcPr>
            <w:tcW w:w="1560" w:type="dxa"/>
            <w:vAlign w:val="bottom"/>
          </w:tcPr>
          <w:p>
            <w:pPr>
              <w:spacing w:after="0"/>
              <w:rPr>
                <w:sz w:val="24"/>
                <w:szCs w:val="24"/>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230,000</w:t>
            </w:r>
          </w:p>
        </w:tc>
      </w:tr>
      <w:tr>
        <w:trPr>
          <w:trHeight w:val="188"/>
        </w:trPr>
        <w:tc>
          <w:tcPr>
            <w:tcW w:w="19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1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TOTAL CAPITALIZATION</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2,510,170</w:t>
            </w:r>
          </w:p>
        </w:tc>
        <w:tc>
          <w:tcPr>
            <w:tcW w:w="15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(22,529)</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2,487,641</w:t>
            </w:r>
          </w:p>
        </w:tc>
      </w:tr>
      <w:tr>
        <w:trPr>
          <w:trHeight w:val="376"/>
        </w:trPr>
        <w:tc>
          <w:tcPr>
            <w:tcW w:w="19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42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NOTES PAYABLE TO BANK</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81,000</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69,000 (a)</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150,000</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ACCOUNTS PAYABLE</w:t>
            </w:r>
          </w:p>
        </w:tc>
        <w:tc>
          <w:tcPr>
            <w:tcW w:w="224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5,204</w:t>
            </w:r>
          </w:p>
        </w:tc>
        <w:tc>
          <w:tcPr>
            <w:tcW w:w="15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5,204</w:t>
            </w:r>
          </w:p>
        </w:tc>
      </w:tr>
      <w:tr>
        <w:trPr>
          <w:trHeight w:val="188"/>
        </w:trPr>
        <w:tc>
          <w:tcPr>
            <w:tcW w:w="42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ACCOUNTS PAYABLE TO AFFILIATED COMPANIES</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11,761</w:t>
            </w:r>
          </w:p>
        </w:tc>
        <w:tc>
          <w:tcPr>
            <w:tcW w:w="15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11,761</w:t>
            </w:r>
          </w:p>
        </w:tc>
      </w:tr>
      <w:tr>
        <w:trPr>
          <w:trHeight w:val="188"/>
        </w:trPr>
        <w:tc>
          <w:tcPr>
            <w:tcW w:w="42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CURRENT PORTION OF LONG-TERM DEBT</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9,000</w:t>
            </w:r>
          </w:p>
        </w:tc>
        <w:tc>
          <w:tcPr>
            <w:tcW w:w="15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9,000</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ACCRUED TAXES</w:t>
            </w:r>
          </w:p>
        </w:tc>
        <w:tc>
          <w:tcPr>
            <w:tcW w:w="224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2,439</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(1,872)(c)</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567</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ACCRUED INTEREST</w:t>
            </w:r>
          </w:p>
        </w:tc>
        <w:tc>
          <w:tcPr>
            <w:tcW w:w="224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3,171</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5,348 (b)</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8,519</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OTHER</w:t>
            </w:r>
          </w:p>
        </w:tc>
        <w:tc>
          <w:tcPr>
            <w:tcW w:w="224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w:t>
            </w:r>
          </w:p>
        </w:tc>
        <w:tc>
          <w:tcPr>
            <w:tcW w:w="15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17</w:t>
            </w:r>
          </w:p>
        </w:tc>
      </w:tr>
      <w:tr>
        <w:trPr>
          <w:trHeight w:val="188"/>
        </w:trPr>
        <w:tc>
          <w:tcPr>
            <w:tcW w:w="19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32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TOTAL CURRENT LIABILITIES</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112,592</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72,476</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185,068</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DEFERRED CREDITS:</w:t>
      </w:r>
    </w:p>
    <w:p>
      <w:pPr>
        <w:sectPr>
          <w:pgSz w:w="11900" w:h="16850" w:orient="portrait"/>
          <w:cols w:equalWidth="0" w:num="1">
            <w:col w:w="10219"/>
          </w:cols>
          <w:pgMar w:left="240" w:top="330" w:right="1440"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4100" w:type="dxa"/>
            <w:vAlign w:val="bottom"/>
          </w:tcPr>
          <w:p>
            <w:pPr>
              <w:ind w:left="300"/>
              <w:spacing w:after="0"/>
              <w:rPr>
                <w:sz w:val="20"/>
                <w:szCs w:val="20"/>
                <w:color w:val="auto"/>
              </w:rPr>
            </w:pPr>
            <w:r>
              <w:rPr>
                <w:rFonts w:ascii="Courier New" w:cs="Courier New" w:eastAsia="Courier New" w:hAnsi="Courier New"/>
                <w:sz w:val="16"/>
                <w:szCs w:val="16"/>
                <w:color w:val="auto"/>
              </w:rPr>
              <w:t>OTHER</w:t>
            </w:r>
          </w:p>
        </w:tc>
        <w:tc>
          <w:tcPr>
            <w:tcW w:w="19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617</w:t>
            </w:r>
          </w:p>
        </w:tc>
        <w:tc>
          <w:tcPr>
            <w:tcW w:w="1360" w:type="dxa"/>
            <w:vAlign w:val="bottom"/>
          </w:tcPr>
          <w:p>
            <w:pPr>
              <w:spacing w:after="0"/>
              <w:rPr>
                <w:sz w:val="15"/>
                <w:szCs w:val="15"/>
                <w:color w:val="auto"/>
              </w:rPr>
            </w:pPr>
          </w:p>
        </w:tc>
        <w:tc>
          <w:tcPr>
            <w:tcW w:w="19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617</w:t>
            </w:r>
          </w:p>
        </w:tc>
      </w:tr>
      <w:tr>
        <w:trPr>
          <w:trHeight w:val="188"/>
        </w:trPr>
        <w:tc>
          <w:tcPr>
            <w:tcW w:w="4100" w:type="dxa"/>
            <w:vAlign w:val="bottom"/>
          </w:tcPr>
          <w:p>
            <w:pPr>
              <w:spacing w:after="0"/>
              <w:rPr>
                <w:sz w:val="16"/>
                <w:szCs w:val="16"/>
                <w:color w:val="auto"/>
              </w:rPr>
            </w:pPr>
          </w:p>
        </w:tc>
        <w:tc>
          <w:tcPr>
            <w:tcW w:w="5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100" w:type="dxa"/>
            <w:vAlign w:val="bottom"/>
          </w:tcPr>
          <w:p>
            <w:pPr>
              <w:ind w:left="580"/>
              <w:spacing w:after="0"/>
              <w:rPr>
                <w:sz w:val="20"/>
                <w:szCs w:val="20"/>
                <w:color w:val="auto"/>
              </w:rPr>
            </w:pPr>
            <w:r>
              <w:rPr>
                <w:rFonts w:ascii="Courier New" w:cs="Courier New" w:eastAsia="Courier New" w:hAnsi="Courier New"/>
                <w:sz w:val="16"/>
                <w:szCs w:val="16"/>
                <w:color w:val="auto"/>
              </w:rPr>
              <w:t>TOTAL DEFERRED CREDITS</w:t>
            </w:r>
          </w:p>
        </w:tc>
        <w:tc>
          <w:tcPr>
            <w:tcW w:w="19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617</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9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617</w:t>
            </w:r>
          </w:p>
        </w:tc>
      </w:tr>
      <w:tr>
        <w:trPr>
          <w:trHeight w:val="188"/>
        </w:trPr>
        <w:tc>
          <w:tcPr>
            <w:tcW w:w="4100" w:type="dxa"/>
            <w:vAlign w:val="bottom"/>
          </w:tcPr>
          <w:p>
            <w:pPr>
              <w:spacing w:after="0"/>
              <w:rPr>
                <w:sz w:val="16"/>
                <w:szCs w:val="16"/>
                <w:color w:val="auto"/>
              </w:rPr>
            </w:pPr>
          </w:p>
        </w:tc>
        <w:tc>
          <w:tcPr>
            <w:tcW w:w="5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100" w:type="dxa"/>
            <w:vAlign w:val="bottom"/>
          </w:tcPr>
          <w:p>
            <w:pPr>
              <w:ind w:left="580"/>
              <w:spacing w:after="0"/>
              <w:rPr>
                <w:sz w:val="20"/>
                <w:szCs w:val="20"/>
                <w:color w:val="auto"/>
              </w:rPr>
            </w:pPr>
            <w:r>
              <w:rPr>
                <w:rFonts w:ascii="Courier New" w:cs="Courier New" w:eastAsia="Courier New" w:hAnsi="Courier New"/>
                <w:sz w:val="16"/>
                <w:szCs w:val="16"/>
                <w:color w:val="auto"/>
              </w:rPr>
              <w:t>TOTAL CAPITALIZATION AND</w:t>
            </w:r>
          </w:p>
        </w:tc>
        <w:tc>
          <w:tcPr>
            <w:tcW w:w="1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8"/>
        </w:trPr>
        <w:tc>
          <w:tcPr>
            <w:tcW w:w="4100" w:type="dxa"/>
            <w:vAlign w:val="bottom"/>
          </w:tcPr>
          <w:p>
            <w:pPr>
              <w:ind w:left="1180"/>
              <w:spacing w:after="0"/>
              <w:rPr>
                <w:sz w:val="20"/>
                <w:szCs w:val="20"/>
                <w:color w:val="auto"/>
              </w:rPr>
            </w:pPr>
            <w:r>
              <w:rPr>
                <w:rFonts w:ascii="Courier New" w:cs="Courier New" w:eastAsia="Courier New" w:hAnsi="Courier New"/>
                <w:sz w:val="16"/>
                <w:szCs w:val="16"/>
                <w:color w:val="auto"/>
              </w:rPr>
              <w:t>LIABILITIES</w:t>
            </w:r>
          </w:p>
        </w:tc>
        <w:tc>
          <w:tcPr>
            <w:tcW w:w="19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$2,623,379</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$49,947</w:t>
            </w:r>
          </w:p>
        </w:tc>
        <w:tc>
          <w:tcPr>
            <w:tcW w:w="19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$2,673,326</w:t>
            </w:r>
          </w:p>
        </w:tc>
      </w:tr>
      <w:tr>
        <w:trPr>
          <w:trHeight w:val="752"/>
        </w:trPr>
        <w:tc>
          <w:tcPr>
            <w:tcW w:w="4100" w:type="dxa"/>
            <w:vAlign w:val="bottom"/>
          </w:tcPr>
          <w:p>
            <w:pPr>
              <w:spacing w:after="0"/>
              <w:rPr>
                <w:sz w:val="20"/>
                <w:szCs w:val="20"/>
                <w:color w:val="auto"/>
              </w:rPr>
            </w:pPr>
            <w:r>
              <w:rPr>
                <w:rFonts w:ascii="Courier New" w:cs="Courier New" w:eastAsia="Courier New" w:hAnsi="Courier New"/>
                <w:sz w:val="16"/>
                <w:szCs w:val="16"/>
                <w:color w:val="auto"/>
              </w:rPr>
              <w:t>*EXPLANATION AT FINANCIAL STATEMENT 1.2.1</w:t>
            </w:r>
          </w:p>
        </w:tc>
        <w:tc>
          <w:tcPr>
            <w:tcW w:w="19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PAGE 3 OF 3</w:t>
            </w: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29" w:name="page30"/>
    <w:bookmarkEnd w:id="29"/>
    <w:p>
      <w:pPr>
        <w:ind w:left="3720"/>
        <w:spacing w:after="0"/>
        <w:rPr>
          <w:sz w:val="20"/>
          <w:szCs w:val="20"/>
          <w:color w:val="auto"/>
        </w:rPr>
      </w:pPr>
      <w:r>
        <w:rPr>
          <w:rFonts w:ascii="Courier New" w:cs="Courier New" w:eastAsia="Courier New" w:hAnsi="Courier New"/>
          <w:sz w:val="16"/>
          <w:szCs w:val="16"/>
          <w:color w:val="auto"/>
        </w:rPr>
        <w:t>NORTHEAST UTILITIES (PARENT)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INCOME STATEMENT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FOR 12 MONTHS ENDED JUNE 30, 1994</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(THOUSANDS OF DOLLARS)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FINANCIAL STATEMENT 1.2.1 PAGE 1 OF 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PRO FORMA</w:t>
            </w:r>
          </w:p>
        </w:tc>
      </w:tr>
      <w:tr>
        <w:trPr>
          <w:trHeight w:val="188"/>
        </w:trPr>
        <w:tc>
          <w:tcPr>
            <w:tcW w:w="4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GIVING EFFECT</w:t>
            </w:r>
          </w:p>
        </w:tc>
      </w:tr>
      <w:tr>
        <w:trPr>
          <w:trHeight w:val="188"/>
        </w:trPr>
        <w:tc>
          <w:tcPr>
            <w:tcW w:w="4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PRO FORMA</w:t>
            </w:r>
          </w:p>
        </w:tc>
        <w:tc>
          <w:tcPr>
            <w:tcW w:w="18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TO PROPOSED</w:t>
            </w:r>
          </w:p>
        </w:tc>
      </w:tr>
      <w:tr>
        <w:trPr>
          <w:trHeight w:val="188"/>
        </w:trPr>
        <w:tc>
          <w:tcPr>
            <w:tcW w:w="4160" w:type="dxa"/>
            <w:vAlign w:val="bottom"/>
          </w:tcPr>
          <w:p>
            <w:pPr>
              <w:spacing w:after="0"/>
              <w:rPr>
                <w:sz w:val="16"/>
                <w:szCs w:val="16"/>
                <w:color w:val="auto"/>
              </w:rPr>
            </w:pPr>
          </w:p>
        </w:tc>
        <w:tc>
          <w:tcPr>
            <w:tcW w:w="17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PER BOOK</w:t>
            </w:r>
          </w:p>
        </w:tc>
        <w:tc>
          <w:tcPr>
            <w:tcW w:w="16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ADJUSTMENTS*</w:t>
            </w:r>
          </w:p>
        </w:tc>
        <w:tc>
          <w:tcPr>
            <w:tcW w:w="18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TRANSACTION</w:t>
            </w:r>
          </w:p>
        </w:tc>
      </w:tr>
      <w:tr>
        <w:trPr>
          <w:trHeight w:val="564"/>
        </w:trPr>
        <w:tc>
          <w:tcPr>
            <w:tcW w:w="4160" w:type="dxa"/>
            <w:vAlign w:val="bottom"/>
          </w:tcPr>
          <w:p>
            <w:pPr>
              <w:spacing w:after="0"/>
              <w:rPr>
                <w:sz w:val="20"/>
                <w:szCs w:val="20"/>
                <w:color w:val="auto"/>
              </w:rPr>
            </w:pPr>
            <w:r>
              <w:rPr>
                <w:rFonts w:ascii="Courier New" w:cs="Courier New" w:eastAsia="Courier New" w:hAnsi="Courier New"/>
                <w:sz w:val="16"/>
                <w:szCs w:val="16"/>
                <w:color w:val="auto"/>
              </w:rPr>
              <w:t>OPERATING REVENUE</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w:t>
            </w:r>
          </w:p>
        </w:tc>
      </w:tr>
      <w:tr>
        <w:trPr>
          <w:trHeight w:val="188"/>
        </w:trPr>
        <w:tc>
          <w:tcPr>
            <w:tcW w:w="4160" w:type="dxa"/>
            <w:vAlign w:val="bottom"/>
          </w:tcPr>
          <w:p>
            <w:pPr>
              <w:spacing w:after="0"/>
              <w:rPr>
                <w:sz w:val="16"/>
                <w:szCs w:val="16"/>
                <w:color w:val="auto"/>
              </w:rPr>
            </w:pPr>
          </w:p>
        </w:tc>
        <w:tc>
          <w:tcPr>
            <w:tcW w:w="522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4160" w:type="dxa"/>
            <w:vAlign w:val="bottom"/>
          </w:tcPr>
          <w:p>
            <w:pPr>
              <w:ind w:left="300"/>
              <w:spacing w:after="0"/>
              <w:rPr>
                <w:sz w:val="20"/>
                <w:szCs w:val="20"/>
                <w:color w:val="auto"/>
              </w:rPr>
            </w:pPr>
            <w:r>
              <w:rPr>
                <w:rFonts w:ascii="Courier New" w:cs="Courier New" w:eastAsia="Courier New" w:hAnsi="Courier New"/>
                <w:sz w:val="16"/>
                <w:szCs w:val="16"/>
                <w:color w:val="auto"/>
              </w:rPr>
              <w:t>OPERATION EXPENSE</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8,195</w:t>
            </w:r>
          </w:p>
        </w:tc>
        <w:tc>
          <w:tcPr>
            <w:tcW w:w="16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8,195</w:t>
            </w:r>
          </w:p>
        </w:tc>
      </w:tr>
      <w:tr>
        <w:trPr>
          <w:trHeight w:val="188"/>
        </w:trPr>
        <w:tc>
          <w:tcPr>
            <w:tcW w:w="4160" w:type="dxa"/>
            <w:vAlign w:val="bottom"/>
          </w:tcPr>
          <w:p>
            <w:pPr>
              <w:ind w:left="300"/>
              <w:spacing w:after="0"/>
              <w:rPr>
                <w:sz w:val="20"/>
                <w:szCs w:val="20"/>
                <w:color w:val="auto"/>
              </w:rPr>
            </w:pPr>
            <w:r>
              <w:rPr>
                <w:rFonts w:ascii="Courier New" w:cs="Courier New" w:eastAsia="Courier New" w:hAnsi="Courier New"/>
                <w:sz w:val="16"/>
                <w:szCs w:val="16"/>
                <w:color w:val="auto"/>
              </w:rPr>
              <w:t>FEDERAL AND STATE INCOME TAXES</w:t>
            </w:r>
          </w:p>
        </w:tc>
        <w:tc>
          <w:tcPr>
            <w:tcW w:w="1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(8,200)</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(1,872)(c)</w:t>
            </w:r>
          </w:p>
        </w:tc>
        <w:tc>
          <w:tcPr>
            <w:tcW w:w="18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(10,072)</w:t>
            </w:r>
          </w:p>
        </w:tc>
      </w:tr>
      <w:tr>
        <w:trPr>
          <w:trHeight w:val="188"/>
        </w:trPr>
        <w:tc>
          <w:tcPr>
            <w:tcW w:w="4160" w:type="dxa"/>
            <w:vAlign w:val="bottom"/>
          </w:tcPr>
          <w:p>
            <w:pPr>
              <w:ind w:left="300"/>
              <w:spacing w:after="0"/>
              <w:rPr>
                <w:sz w:val="20"/>
                <w:szCs w:val="20"/>
                <w:color w:val="auto"/>
              </w:rPr>
            </w:pPr>
            <w:r>
              <w:rPr>
                <w:rFonts w:ascii="Courier New" w:cs="Courier New" w:eastAsia="Courier New" w:hAnsi="Courier New"/>
                <w:sz w:val="16"/>
                <w:szCs w:val="16"/>
                <w:color w:val="auto"/>
              </w:rPr>
              <w:t>TAXES OTHER THAN INCOME TAXES</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w:t>
            </w:r>
          </w:p>
        </w:tc>
        <w:tc>
          <w:tcPr>
            <w:tcW w:w="16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w:t>
            </w:r>
          </w:p>
        </w:tc>
      </w:tr>
      <w:tr>
        <w:trPr>
          <w:trHeight w:val="188"/>
        </w:trPr>
        <w:tc>
          <w:tcPr>
            <w:tcW w:w="4160" w:type="dxa"/>
            <w:vAlign w:val="bottom"/>
          </w:tcPr>
          <w:p>
            <w:pPr>
              <w:spacing w:after="0"/>
              <w:rPr>
                <w:sz w:val="16"/>
                <w:szCs w:val="16"/>
                <w:color w:val="auto"/>
              </w:rPr>
            </w:pPr>
          </w:p>
        </w:tc>
        <w:tc>
          <w:tcPr>
            <w:tcW w:w="522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ind w:left="680"/>
              <w:spacing w:after="0"/>
              <w:rPr>
                <w:sz w:val="20"/>
                <w:szCs w:val="20"/>
                <w:color w:val="auto"/>
              </w:rPr>
            </w:pPr>
            <w:r>
              <w:rPr>
                <w:rFonts w:ascii="Courier New" w:cs="Courier New" w:eastAsia="Courier New" w:hAnsi="Courier New"/>
                <w:sz w:val="16"/>
                <w:szCs w:val="16"/>
                <w:color w:val="auto"/>
              </w:rPr>
              <w:t>TOTAL OPERATING EXPENSES</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w:t>
            </w:r>
          </w:p>
        </w:tc>
        <w:tc>
          <w:tcPr>
            <w:tcW w:w="16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(1,872)</w:t>
            </w:r>
          </w:p>
        </w:tc>
        <w:tc>
          <w:tcPr>
            <w:tcW w:w="18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(1,866)</w:t>
            </w:r>
          </w:p>
        </w:tc>
      </w:tr>
      <w:tr>
        <w:trPr>
          <w:trHeight w:val="188"/>
        </w:trPr>
        <w:tc>
          <w:tcPr>
            <w:tcW w:w="4160" w:type="dxa"/>
            <w:vAlign w:val="bottom"/>
          </w:tcPr>
          <w:p>
            <w:pPr>
              <w:spacing w:after="0"/>
              <w:rPr>
                <w:sz w:val="16"/>
                <w:szCs w:val="16"/>
                <w:color w:val="auto"/>
              </w:rPr>
            </w:pPr>
          </w:p>
        </w:tc>
        <w:tc>
          <w:tcPr>
            <w:tcW w:w="522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w:t>
            </w:r>
          </w:p>
        </w:tc>
        <w:tc>
          <w:tcPr>
            <w:tcW w:w="16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1,872</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1,866</w:t>
            </w:r>
          </w:p>
        </w:tc>
      </w:tr>
      <w:tr>
        <w:trPr>
          <w:trHeight w:val="188"/>
        </w:trPr>
        <w:tc>
          <w:tcPr>
            <w:tcW w:w="4160" w:type="dxa"/>
            <w:vAlign w:val="bottom"/>
          </w:tcPr>
          <w:p>
            <w:pPr>
              <w:spacing w:after="0"/>
              <w:rPr>
                <w:sz w:val="16"/>
                <w:szCs w:val="16"/>
                <w:color w:val="auto"/>
              </w:rPr>
            </w:pPr>
          </w:p>
        </w:tc>
        <w:tc>
          <w:tcPr>
            <w:tcW w:w="522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160" w:type="dxa"/>
            <w:vAlign w:val="bottom"/>
          </w:tcPr>
          <w:p>
            <w:pPr>
              <w:ind w:left="300"/>
              <w:spacing w:after="0"/>
              <w:rPr>
                <w:sz w:val="20"/>
                <w:szCs w:val="20"/>
                <w:color w:val="auto"/>
              </w:rPr>
            </w:pPr>
            <w:r>
              <w:rPr>
                <w:rFonts w:ascii="Courier New" w:cs="Courier New" w:eastAsia="Courier New" w:hAnsi="Courier New"/>
                <w:sz w:val="16"/>
                <w:szCs w:val="16"/>
                <w:color w:val="auto"/>
              </w:rPr>
              <w:t>EQUITY IN EARNINGS OF SUBSIDIARIES</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298,795</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(19,053)(d)</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279,742</w:t>
            </w:r>
          </w:p>
        </w:tc>
      </w:tr>
      <w:tr>
        <w:trPr>
          <w:trHeight w:val="188"/>
        </w:trPr>
        <w:tc>
          <w:tcPr>
            <w:tcW w:w="4160" w:type="dxa"/>
            <w:vAlign w:val="bottom"/>
          </w:tcPr>
          <w:p>
            <w:pPr>
              <w:ind w:left="300"/>
              <w:spacing w:after="0"/>
              <w:rPr>
                <w:sz w:val="20"/>
                <w:szCs w:val="20"/>
                <w:color w:val="auto"/>
              </w:rPr>
            </w:pPr>
            <w:r>
              <w:rPr>
                <w:rFonts w:ascii="Courier New" w:cs="Courier New" w:eastAsia="Courier New" w:hAnsi="Courier New"/>
                <w:sz w:val="16"/>
                <w:szCs w:val="16"/>
                <w:color w:val="auto"/>
              </w:rPr>
              <w:t>EQUITY IN EARNINGS OF TRANSMISSION</w:t>
            </w:r>
          </w:p>
        </w:tc>
        <w:tc>
          <w:tcPr>
            <w:tcW w:w="1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160" w:type="dxa"/>
            <w:vAlign w:val="bottom"/>
          </w:tcPr>
          <w:p>
            <w:pPr>
              <w:ind w:left="480"/>
              <w:spacing w:after="0"/>
              <w:rPr>
                <w:sz w:val="20"/>
                <w:szCs w:val="20"/>
                <w:color w:val="auto"/>
              </w:rPr>
            </w:pPr>
            <w:r>
              <w:rPr>
                <w:rFonts w:ascii="Courier New" w:cs="Courier New" w:eastAsia="Courier New" w:hAnsi="Courier New"/>
                <w:sz w:val="16"/>
                <w:szCs w:val="16"/>
                <w:color w:val="auto"/>
              </w:rPr>
              <w:t>COMPANIES</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3,609</w:t>
            </w:r>
          </w:p>
        </w:tc>
        <w:tc>
          <w:tcPr>
            <w:tcW w:w="16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3,609</w:t>
            </w:r>
          </w:p>
        </w:tc>
      </w:tr>
      <w:tr>
        <w:trPr>
          <w:trHeight w:val="188"/>
        </w:trPr>
        <w:tc>
          <w:tcPr>
            <w:tcW w:w="4160" w:type="dxa"/>
            <w:vAlign w:val="bottom"/>
          </w:tcPr>
          <w:p>
            <w:pPr>
              <w:ind w:left="300"/>
              <w:spacing w:after="0"/>
              <w:rPr>
                <w:sz w:val="20"/>
                <w:szCs w:val="20"/>
                <w:color w:val="auto"/>
              </w:rPr>
            </w:pPr>
            <w:r>
              <w:rPr>
                <w:rFonts w:ascii="Courier New" w:cs="Courier New" w:eastAsia="Courier New" w:hAnsi="Courier New"/>
                <w:sz w:val="16"/>
                <w:szCs w:val="16"/>
                <w:color w:val="auto"/>
              </w:rPr>
              <w:t>OTHER, NET</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1,250</w:t>
            </w:r>
          </w:p>
        </w:tc>
        <w:tc>
          <w:tcPr>
            <w:tcW w:w="16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1,250</w:t>
            </w:r>
          </w:p>
        </w:tc>
      </w:tr>
      <w:tr>
        <w:trPr>
          <w:trHeight w:val="188"/>
        </w:trPr>
        <w:tc>
          <w:tcPr>
            <w:tcW w:w="4160" w:type="dxa"/>
            <w:vAlign w:val="bottom"/>
          </w:tcPr>
          <w:p>
            <w:pPr>
              <w:spacing w:after="0"/>
              <w:rPr>
                <w:sz w:val="16"/>
                <w:szCs w:val="16"/>
                <w:color w:val="auto"/>
              </w:rPr>
            </w:pPr>
          </w:p>
        </w:tc>
        <w:tc>
          <w:tcPr>
            <w:tcW w:w="522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ind w:left="580"/>
              <w:spacing w:after="0"/>
              <w:rPr>
                <w:sz w:val="20"/>
                <w:szCs w:val="20"/>
                <w:color w:val="auto"/>
              </w:rPr>
            </w:pPr>
            <w:r>
              <w:rPr>
                <w:rFonts w:ascii="Courier New" w:cs="Courier New" w:eastAsia="Courier New" w:hAnsi="Courier New"/>
                <w:sz w:val="16"/>
                <w:szCs w:val="16"/>
                <w:color w:val="auto"/>
              </w:rPr>
              <w:t>OTHER INCOME, NET</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303,654</w:t>
            </w:r>
          </w:p>
        </w:tc>
        <w:tc>
          <w:tcPr>
            <w:tcW w:w="16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(19,053)</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284,601</w:t>
            </w:r>
          </w:p>
        </w:tc>
      </w:tr>
      <w:tr>
        <w:trPr>
          <w:trHeight w:val="188"/>
        </w:trPr>
        <w:tc>
          <w:tcPr>
            <w:tcW w:w="4160" w:type="dxa"/>
            <w:vAlign w:val="bottom"/>
          </w:tcPr>
          <w:p>
            <w:pPr>
              <w:spacing w:after="0"/>
              <w:rPr>
                <w:sz w:val="16"/>
                <w:szCs w:val="16"/>
                <w:color w:val="auto"/>
              </w:rPr>
            </w:pPr>
          </w:p>
        </w:tc>
        <w:tc>
          <w:tcPr>
            <w:tcW w:w="522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INCOME BEFORE INTEREST CHARGES</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303,648</w:t>
            </w:r>
          </w:p>
        </w:tc>
        <w:tc>
          <w:tcPr>
            <w:tcW w:w="16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(17,181)</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286,467</w:t>
            </w:r>
          </w:p>
        </w:tc>
      </w:tr>
      <w:tr>
        <w:trPr>
          <w:trHeight w:val="188"/>
        </w:trPr>
        <w:tc>
          <w:tcPr>
            <w:tcW w:w="4160" w:type="dxa"/>
            <w:vAlign w:val="bottom"/>
          </w:tcPr>
          <w:p>
            <w:pPr>
              <w:spacing w:after="0"/>
              <w:rPr>
                <w:sz w:val="16"/>
                <w:szCs w:val="16"/>
                <w:color w:val="auto"/>
              </w:rPr>
            </w:pPr>
          </w:p>
        </w:tc>
        <w:tc>
          <w:tcPr>
            <w:tcW w:w="522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INTEREST CHARGES:</w:t>
            </w: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4160" w:type="dxa"/>
            <w:vAlign w:val="bottom"/>
          </w:tcPr>
          <w:p>
            <w:pPr>
              <w:ind w:left="300"/>
              <w:spacing w:after="0"/>
              <w:rPr>
                <w:sz w:val="20"/>
                <w:szCs w:val="20"/>
                <w:color w:val="auto"/>
              </w:rPr>
            </w:pPr>
            <w:r>
              <w:rPr>
                <w:rFonts w:ascii="Courier New" w:cs="Courier New" w:eastAsia="Courier New" w:hAnsi="Courier New"/>
                <w:sz w:val="16"/>
                <w:szCs w:val="16"/>
                <w:color w:val="auto"/>
              </w:rPr>
              <w:t>INTEREST ON LONG-TERM DEBT</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20,740</w:t>
            </w:r>
          </w:p>
        </w:tc>
        <w:tc>
          <w:tcPr>
            <w:tcW w:w="166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20,740</w:t>
            </w:r>
          </w:p>
        </w:tc>
      </w:tr>
      <w:tr>
        <w:trPr>
          <w:trHeight w:val="188"/>
        </w:trPr>
        <w:tc>
          <w:tcPr>
            <w:tcW w:w="4160" w:type="dxa"/>
            <w:vAlign w:val="bottom"/>
          </w:tcPr>
          <w:p>
            <w:pPr>
              <w:ind w:left="300"/>
              <w:spacing w:after="0"/>
              <w:rPr>
                <w:sz w:val="20"/>
                <w:szCs w:val="20"/>
                <w:color w:val="auto"/>
              </w:rPr>
            </w:pPr>
            <w:r>
              <w:rPr>
                <w:rFonts w:ascii="Courier New" w:cs="Courier New" w:eastAsia="Courier New" w:hAnsi="Courier New"/>
                <w:sz w:val="16"/>
                <w:szCs w:val="16"/>
                <w:color w:val="auto"/>
              </w:rPr>
              <w:t>OTHER INTEREST</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3,128</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5,348 (b)</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8,476</w:t>
            </w:r>
          </w:p>
        </w:tc>
      </w:tr>
      <w:tr>
        <w:trPr>
          <w:trHeight w:val="188"/>
        </w:trPr>
        <w:tc>
          <w:tcPr>
            <w:tcW w:w="4160" w:type="dxa"/>
            <w:vAlign w:val="bottom"/>
          </w:tcPr>
          <w:p>
            <w:pPr>
              <w:spacing w:after="0"/>
              <w:rPr>
                <w:sz w:val="16"/>
                <w:szCs w:val="16"/>
                <w:color w:val="auto"/>
              </w:rPr>
            </w:pPr>
          </w:p>
        </w:tc>
        <w:tc>
          <w:tcPr>
            <w:tcW w:w="522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ind w:left="780"/>
              <w:spacing w:after="0"/>
              <w:rPr>
                <w:sz w:val="20"/>
                <w:szCs w:val="20"/>
                <w:color w:val="auto"/>
              </w:rPr>
            </w:pPr>
            <w:r>
              <w:rPr>
                <w:rFonts w:ascii="Courier New" w:cs="Courier New" w:eastAsia="Courier New" w:hAnsi="Courier New"/>
                <w:sz w:val="16"/>
                <w:szCs w:val="16"/>
                <w:color w:val="auto"/>
              </w:rPr>
              <w:t>TOTAL INTEREST CHARGES</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23,868</w:t>
            </w:r>
          </w:p>
        </w:tc>
        <w:tc>
          <w:tcPr>
            <w:tcW w:w="16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5,348</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29,216</w:t>
            </w:r>
          </w:p>
        </w:tc>
      </w:tr>
      <w:tr>
        <w:trPr>
          <w:trHeight w:val="188"/>
        </w:trPr>
        <w:tc>
          <w:tcPr>
            <w:tcW w:w="4160" w:type="dxa"/>
            <w:vAlign w:val="bottom"/>
          </w:tcPr>
          <w:p>
            <w:pPr>
              <w:spacing w:after="0"/>
              <w:rPr>
                <w:sz w:val="16"/>
                <w:szCs w:val="16"/>
                <w:color w:val="auto"/>
              </w:rPr>
            </w:pPr>
          </w:p>
        </w:tc>
        <w:tc>
          <w:tcPr>
            <w:tcW w:w="522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376"/>
        </w:trPr>
        <w:tc>
          <w:tcPr>
            <w:tcW w:w="4160" w:type="dxa"/>
            <w:vAlign w:val="bottom"/>
          </w:tcPr>
          <w:p>
            <w:pPr>
              <w:ind w:left="580"/>
              <w:spacing w:after="0"/>
              <w:rPr>
                <w:sz w:val="20"/>
                <w:szCs w:val="20"/>
                <w:color w:val="auto"/>
              </w:rPr>
            </w:pPr>
            <w:r>
              <w:rPr>
                <w:rFonts w:ascii="Courier New" w:cs="Courier New" w:eastAsia="Courier New" w:hAnsi="Courier New"/>
                <w:sz w:val="16"/>
                <w:szCs w:val="16"/>
                <w:color w:val="auto"/>
              </w:rPr>
              <w:t>NET INCOME</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279,780</w:t>
            </w:r>
          </w:p>
        </w:tc>
        <w:tc>
          <w:tcPr>
            <w:tcW w:w="16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(22,529)</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257,251</w:t>
            </w:r>
          </w:p>
        </w:tc>
      </w:tr>
      <w:tr>
        <w:trPr>
          <w:trHeight w:val="188"/>
        </w:trPr>
        <w:tc>
          <w:tcPr>
            <w:tcW w:w="4160" w:type="dxa"/>
            <w:vAlign w:val="bottom"/>
          </w:tcPr>
          <w:p>
            <w:pPr>
              <w:spacing w:after="0"/>
              <w:rPr>
                <w:sz w:val="16"/>
                <w:szCs w:val="16"/>
                <w:color w:val="auto"/>
              </w:rPr>
            </w:pPr>
          </w:p>
        </w:tc>
        <w:tc>
          <w:tcPr>
            <w:tcW w:w="522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EARNINGS FOR COMMON SHARES</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279,780</w:t>
            </w:r>
          </w:p>
        </w:tc>
        <w:tc>
          <w:tcPr>
            <w:tcW w:w="16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(22,529)</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257,251</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EARNINGS PER COMMON SHARE</w:t>
            </w:r>
          </w:p>
        </w:tc>
        <w:tc>
          <w:tcPr>
            <w:tcW w:w="1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2.25</w:t>
            </w:r>
          </w:p>
        </w:tc>
        <w:tc>
          <w:tcPr>
            <w:tcW w:w="1660" w:type="dxa"/>
            <w:vAlign w:val="bottom"/>
          </w:tcPr>
          <w:p>
            <w:pPr>
              <w:spacing w:after="0"/>
              <w:rPr>
                <w:sz w:val="24"/>
                <w:szCs w:val="24"/>
                <w:color w:val="auto"/>
              </w:rPr>
            </w:pPr>
          </w:p>
        </w:tc>
        <w:tc>
          <w:tcPr>
            <w:tcW w:w="18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2.07</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COMMON SHARES OUTSTANDING (AVERAGE)</w:t>
            </w:r>
          </w:p>
        </w:tc>
        <w:tc>
          <w:tcPr>
            <w:tcW w:w="1700" w:type="dxa"/>
            <w:vAlign w:val="bottom"/>
          </w:tcPr>
          <w:p>
            <w:pPr>
              <w:ind w:left="540"/>
              <w:spacing w:after="0"/>
              <w:rPr>
                <w:sz w:val="20"/>
                <w:szCs w:val="20"/>
                <w:color w:val="auto"/>
              </w:rPr>
            </w:pPr>
            <w:r>
              <w:rPr>
                <w:rFonts w:ascii="Courier New" w:cs="Courier New" w:eastAsia="Courier New" w:hAnsi="Courier New"/>
                <w:sz w:val="16"/>
                <w:szCs w:val="16"/>
                <w:color w:val="auto"/>
              </w:rPr>
              <w:t>124,329,564</w:t>
            </w:r>
          </w:p>
        </w:tc>
        <w:tc>
          <w:tcPr>
            <w:tcW w:w="1660" w:type="dxa"/>
            <w:vAlign w:val="bottom"/>
          </w:tcPr>
          <w:p>
            <w:pPr>
              <w:spacing w:after="0"/>
              <w:rPr>
                <w:sz w:val="24"/>
                <w:szCs w:val="24"/>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124,329,564</w:t>
            </w:r>
          </w:p>
        </w:tc>
      </w:tr>
    </w:tbl>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*EXPLANATION AT FINANCIAL STATEMENT 1.2.1</w:t>
            </w:r>
          </w:p>
        </w:tc>
        <w:tc>
          <w:tcPr>
            <w:tcW w:w="190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PAGE 3 OF 3</w:t>
            </w:r>
          </w:p>
        </w:tc>
        <w:tc>
          <w:tcPr>
            <w:tcW w:w="1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539"/>
        </w:trPr>
        <w:tc>
          <w:tcPr>
            <w:tcW w:w="1960" w:type="dxa"/>
            <w:vAlign w:val="bottom"/>
          </w:tcPr>
          <w:p>
            <w:pPr>
              <w:spacing w:after="0"/>
              <w:rPr>
                <w:sz w:val="24"/>
                <w:szCs w:val="24"/>
                <w:color w:val="auto"/>
              </w:rPr>
            </w:pPr>
          </w:p>
        </w:tc>
        <w:tc>
          <w:tcPr>
            <w:tcW w:w="5520" w:type="dxa"/>
            <w:vAlign w:val="bottom"/>
            <w:gridSpan w:val="4"/>
          </w:tcPr>
          <w:p>
            <w:pPr>
              <w:ind w:left="1760"/>
              <w:spacing w:after="0"/>
              <w:rPr>
                <w:sz w:val="20"/>
                <w:szCs w:val="20"/>
                <w:color w:val="auto"/>
              </w:rPr>
            </w:pPr>
            <w:r>
              <w:rPr>
                <w:rFonts w:ascii="Courier New" w:cs="Courier New" w:eastAsia="Courier New" w:hAnsi="Courier New"/>
                <w:sz w:val="16"/>
                <w:szCs w:val="16"/>
                <w:color w:val="auto"/>
              </w:rPr>
              <w:t>NORTHEAST UTILITIES (PARENT)</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8"/>
        </w:trPr>
        <w:tc>
          <w:tcPr>
            <w:tcW w:w="1960" w:type="dxa"/>
            <w:vAlign w:val="bottom"/>
          </w:tcPr>
          <w:p>
            <w:pPr>
              <w:spacing w:after="0"/>
              <w:rPr>
                <w:sz w:val="16"/>
                <w:szCs w:val="16"/>
                <w:color w:val="auto"/>
              </w:rPr>
            </w:pPr>
          </w:p>
        </w:tc>
        <w:tc>
          <w:tcPr>
            <w:tcW w:w="5520" w:type="dxa"/>
            <w:vAlign w:val="bottom"/>
            <w:gridSpan w:val="4"/>
          </w:tcPr>
          <w:p>
            <w:pPr>
              <w:ind w:left="1760"/>
              <w:spacing w:after="0"/>
              <w:rPr>
                <w:sz w:val="20"/>
                <w:szCs w:val="20"/>
                <w:color w:val="auto"/>
              </w:rPr>
            </w:pPr>
            <w:r>
              <w:rPr>
                <w:rFonts w:ascii="Courier New" w:cs="Courier New" w:eastAsia="Courier New" w:hAnsi="Courier New"/>
                <w:sz w:val="16"/>
                <w:szCs w:val="16"/>
                <w:color w:val="auto"/>
              </w:rPr>
              <w:t>CAPITAL STRUCTURE AS OF JUNE 30, 1994</w:t>
            </w:r>
          </w:p>
        </w:tc>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1960" w:type="dxa"/>
            <w:vAlign w:val="bottom"/>
          </w:tcPr>
          <w:p>
            <w:pPr>
              <w:spacing w:after="0"/>
              <w:rPr>
                <w:sz w:val="16"/>
                <w:szCs w:val="16"/>
                <w:color w:val="auto"/>
              </w:rPr>
            </w:pPr>
          </w:p>
        </w:tc>
        <w:tc>
          <w:tcPr>
            <w:tcW w:w="4000" w:type="dxa"/>
            <w:vAlign w:val="bottom"/>
            <w:gridSpan w:val="3"/>
          </w:tcPr>
          <w:p>
            <w:pPr>
              <w:ind w:left="1760"/>
              <w:spacing w:after="0"/>
              <w:rPr>
                <w:sz w:val="20"/>
                <w:szCs w:val="20"/>
                <w:color w:val="auto"/>
              </w:rPr>
            </w:pPr>
            <w:r>
              <w:rPr>
                <w:rFonts w:ascii="Courier New" w:cs="Courier New" w:eastAsia="Courier New" w:hAnsi="Courier New"/>
                <w:sz w:val="16"/>
                <w:szCs w:val="16"/>
                <w:color w:val="auto"/>
              </w:rPr>
              <w:t>(THOUSANDS OF DOLLARS)</w:t>
            </w:r>
          </w:p>
        </w:tc>
        <w:tc>
          <w:tcPr>
            <w:tcW w:w="1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1960" w:type="dxa"/>
            <w:vAlign w:val="bottom"/>
          </w:tcPr>
          <w:p>
            <w:pPr>
              <w:spacing w:after="0"/>
              <w:rPr>
                <w:sz w:val="16"/>
                <w:szCs w:val="16"/>
                <w:color w:val="auto"/>
              </w:rPr>
            </w:pPr>
          </w:p>
        </w:tc>
        <w:tc>
          <w:tcPr>
            <w:tcW w:w="5520" w:type="dxa"/>
            <w:vAlign w:val="bottom"/>
            <w:gridSpan w:val="4"/>
          </w:tcPr>
          <w:p>
            <w:pPr>
              <w:ind w:left="1760"/>
              <w:spacing w:after="0"/>
              <w:rPr>
                <w:sz w:val="20"/>
                <w:szCs w:val="20"/>
                <w:color w:val="auto"/>
              </w:rPr>
            </w:pPr>
            <w:r>
              <w:rPr>
                <w:rFonts w:ascii="Courier New" w:cs="Courier New" w:eastAsia="Courier New" w:hAnsi="Courier New"/>
                <w:sz w:val="16"/>
                <w:szCs w:val="16"/>
                <w:color w:val="auto"/>
              </w:rPr>
              <w:t>FINANCIAL STATEMENT 1.2.1 PAGE 2 OF 3</w:t>
            </w:r>
          </w:p>
        </w:tc>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6"/>
        </w:trPr>
        <w:tc>
          <w:tcPr>
            <w:tcW w:w="1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PER BOOK</w:t>
            </w:r>
          </w:p>
        </w:tc>
        <w:tc>
          <w:tcPr>
            <w:tcW w:w="740" w:type="dxa"/>
            <w:vAlign w:val="bottom"/>
          </w:tcPr>
          <w:p>
            <w:pPr>
              <w:spacing w:after="0"/>
              <w:rPr>
                <w:sz w:val="24"/>
                <w:szCs w:val="24"/>
                <w:color w:val="auto"/>
              </w:rPr>
            </w:pPr>
          </w:p>
        </w:tc>
      </w:tr>
      <w:tr>
        <w:trPr>
          <w:trHeight w:val="188"/>
        </w:trPr>
        <w:tc>
          <w:tcPr>
            <w:tcW w:w="1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ADJUSTED TO</w:t>
            </w:r>
          </w:p>
        </w:tc>
        <w:tc>
          <w:tcPr>
            <w:tcW w:w="740" w:type="dxa"/>
            <w:vAlign w:val="bottom"/>
          </w:tcPr>
          <w:p>
            <w:pPr>
              <w:spacing w:after="0"/>
              <w:rPr>
                <w:sz w:val="16"/>
                <w:szCs w:val="16"/>
                <w:color w:val="auto"/>
              </w:rPr>
            </w:pPr>
          </w:p>
        </w:tc>
      </w:tr>
      <w:tr>
        <w:trPr>
          <w:trHeight w:val="188"/>
        </w:trPr>
        <w:tc>
          <w:tcPr>
            <w:tcW w:w="1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tcPr>
          <w:p>
            <w:pPr>
              <w:ind w:left="100"/>
              <w:spacing w:after="0"/>
              <w:rPr>
                <w:sz w:val="20"/>
                <w:szCs w:val="20"/>
                <w:color w:val="auto"/>
              </w:rPr>
            </w:pPr>
            <w:r>
              <w:rPr>
                <w:rFonts w:ascii="Courier New" w:cs="Courier New" w:eastAsia="Courier New" w:hAnsi="Courier New"/>
                <w:sz w:val="16"/>
                <w:szCs w:val="16"/>
                <w:color w:val="auto"/>
              </w:rPr>
              <w:t>PRO FORMA</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REFLECT</w:t>
            </w:r>
          </w:p>
        </w:tc>
        <w:tc>
          <w:tcPr>
            <w:tcW w:w="740" w:type="dxa"/>
            <w:vAlign w:val="bottom"/>
          </w:tcPr>
          <w:p>
            <w:pPr>
              <w:spacing w:after="0"/>
              <w:rPr>
                <w:sz w:val="16"/>
                <w:szCs w:val="16"/>
                <w:color w:val="auto"/>
              </w:rPr>
            </w:pPr>
          </w:p>
        </w:tc>
      </w:tr>
      <w:tr>
        <w:trPr>
          <w:trHeight w:val="188"/>
        </w:trPr>
        <w:tc>
          <w:tcPr>
            <w:tcW w:w="1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PER BOOK</w:t>
            </w:r>
          </w:p>
        </w:tc>
        <w:tc>
          <w:tcPr>
            <w:tcW w:w="1520" w:type="dxa"/>
            <w:vAlign w:val="bottom"/>
          </w:tcPr>
          <w:p>
            <w:pPr>
              <w:ind w:left="100"/>
              <w:spacing w:after="0"/>
              <w:rPr>
                <w:sz w:val="20"/>
                <w:szCs w:val="20"/>
                <w:color w:val="auto"/>
              </w:rPr>
            </w:pPr>
            <w:r>
              <w:rPr>
                <w:rFonts w:ascii="Courier New" w:cs="Courier New" w:eastAsia="Courier New" w:hAnsi="Courier New"/>
                <w:sz w:val="16"/>
                <w:szCs w:val="16"/>
                <w:color w:val="auto"/>
              </w:rPr>
              <w:t>ADJUSTMENT</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PRO FORMA</w:t>
            </w:r>
          </w:p>
        </w:tc>
        <w:tc>
          <w:tcPr>
            <w:tcW w:w="7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376"/>
        </w:trPr>
        <w:tc>
          <w:tcPr>
            <w:tcW w:w="1960" w:type="dxa"/>
            <w:vAlign w:val="bottom"/>
          </w:tcPr>
          <w:p>
            <w:pPr>
              <w:spacing w:after="0"/>
              <w:rPr>
                <w:sz w:val="20"/>
                <w:szCs w:val="20"/>
                <w:color w:val="auto"/>
              </w:rPr>
            </w:pPr>
            <w:r>
              <w:rPr>
                <w:rFonts w:ascii="Courier New" w:cs="Courier New" w:eastAsia="Courier New" w:hAnsi="Courier New"/>
                <w:sz w:val="16"/>
                <w:szCs w:val="16"/>
                <w:color w:val="auto"/>
              </w:rPr>
              <w:t>DEBT:</w:t>
            </w: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LONG-TERM DEBT,</w:t>
            </w:r>
          </w:p>
        </w:tc>
        <w:tc>
          <w:tcPr>
            <w:tcW w:w="210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6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$239,000</w:t>
            </w:r>
          </w:p>
        </w:tc>
        <w:tc>
          <w:tcPr>
            <w:tcW w:w="1520" w:type="dxa"/>
            <w:vAlign w:val="bottom"/>
          </w:tcPr>
          <w:p>
            <w:pPr>
              <w:spacing w:after="0"/>
              <w:rPr>
                <w:sz w:val="16"/>
                <w:szCs w:val="16"/>
                <w:color w:val="auto"/>
              </w:rPr>
            </w:pP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$239,000</w:t>
            </w:r>
          </w:p>
        </w:tc>
        <w:tc>
          <w:tcPr>
            <w:tcW w:w="740" w:type="dxa"/>
            <w:vAlign w:val="bottom"/>
          </w:tcPr>
          <w:p>
            <w:pPr>
              <w:spacing w:after="0"/>
              <w:rPr>
                <w:sz w:val="16"/>
                <w:szCs w:val="16"/>
                <w:color w:val="auto"/>
              </w:rPr>
            </w:pPr>
          </w:p>
        </w:tc>
      </w:tr>
      <w:tr>
        <w:trPr>
          <w:trHeight w:val="188"/>
        </w:trPr>
        <w:tc>
          <w:tcPr>
            <w:tcW w:w="1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80" w:type="dxa"/>
            <w:vAlign w:val="bottom"/>
            <w:gridSpan w:val="4"/>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1960" w:type="dxa"/>
            <w:vAlign w:val="bottom"/>
          </w:tcPr>
          <w:p>
            <w:pPr>
              <w:ind w:left="680"/>
              <w:spacing w:after="0"/>
              <w:rPr>
                <w:sz w:val="20"/>
                <w:szCs w:val="20"/>
                <w:color w:val="auto"/>
              </w:rPr>
            </w:pPr>
            <w:r>
              <w:rPr>
                <w:rFonts w:ascii="Courier New" w:cs="Courier New" w:eastAsia="Courier New" w:hAnsi="Courier New"/>
                <w:sz w:val="16"/>
                <w:szCs w:val="16"/>
                <w:color w:val="auto"/>
              </w:rPr>
              <w:t>TOTAL DEBT</w:t>
            </w:r>
          </w:p>
        </w:tc>
        <w:tc>
          <w:tcPr>
            <w:tcW w:w="2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239,000</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239,000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r>
      <w:tr>
        <w:trPr>
          <w:trHeight w:val="376"/>
        </w:trPr>
        <w:tc>
          <w:tcPr>
            <w:tcW w:w="1960" w:type="dxa"/>
            <w:vAlign w:val="bottom"/>
          </w:tcPr>
          <w:p>
            <w:pPr>
              <w:spacing w:after="0"/>
              <w:rPr>
                <w:sz w:val="20"/>
                <w:szCs w:val="20"/>
                <w:color w:val="auto"/>
              </w:rPr>
            </w:pPr>
            <w:r>
              <w:rPr>
                <w:rFonts w:ascii="Courier New" w:cs="Courier New" w:eastAsia="Courier New" w:hAnsi="Courier New"/>
                <w:sz w:val="16"/>
                <w:szCs w:val="16"/>
                <w:color w:val="auto"/>
              </w:rPr>
              <w:t>COMMON EQUITY:</w:t>
            </w: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COMMON SHARES</w:t>
            </w: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671,048</w:t>
            </w:r>
          </w:p>
        </w:tc>
        <w:tc>
          <w:tcPr>
            <w:tcW w:w="1520" w:type="dxa"/>
            <w:vAlign w:val="bottom"/>
          </w:tcPr>
          <w:p>
            <w:pPr>
              <w:spacing w:after="0"/>
              <w:rPr>
                <w:sz w:val="16"/>
                <w:szCs w:val="16"/>
                <w:color w:val="auto"/>
              </w:rPr>
            </w:pP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671,048</w:t>
            </w:r>
          </w:p>
        </w:tc>
        <w:tc>
          <w:tcPr>
            <w:tcW w:w="740" w:type="dxa"/>
            <w:vAlign w:val="bottom"/>
          </w:tcPr>
          <w:p>
            <w:pPr>
              <w:spacing w:after="0"/>
              <w:rPr>
                <w:sz w:val="16"/>
                <w:szCs w:val="16"/>
                <w:color w:val="auto"/>
              </w:rPr>
            </w:pP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CAPITAL SURPLUS,</w:t>
            </w:r>
          </w:p>
        </w:tc>
        <w:tc>
          <w:tcPr>
            <w:tcW w:w="2100" w:type="dxa"/>
            <w:vAlign w:val="bottom"/>
          </w:tcPr>
          <w:p>
            <w:pPr>
              <w:ind w:left="100"/>
              <w:spacing w:after="0"/>
              <w:rPr>
                <w:sz w:val="20"/>
                <w:szCs w:val="20"/>
                <w:color w:val="auto"/>
              </w:rPr>
            </w:pPr>
            <w:r>
              <w:rPr>
                <w:rFonts w:ascii="Courier New" w:cs="Courier New" w:eastAsia="Courier New" w:hAnsi="Courier New"/>
                <w:sz w:val="16"/>
                <w:szCs w:val="16"/>
                <w:color w:val="auto"/>
              </w:rPr>
              <w:t>PAID IN</w:t>
            </w:r>
          </w:p>
        </w:tc>
        <w:tc>
          <w:tcPr>
            <w:tcW w:w="6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903,137</w:t>
            </w:r>
          </w:p>
        </w:tc>
        <w:tc>
          <w:tcPr>
            <w:tcW w:w="1520" w:type="dxa"/>
            <w:vAlign w:val="bottom"/>
          </w:tcPr>
          <w:p>
            <w:pPr>
              <w:spacing w:after="0"/>
              <w:rPr>
                <w:sz w:val="16"/>
                <w:szCs w:val="16"/>
                <w:color w:val="auto"/>
              </w:rPr>
            </w:pP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903,137</w:t>
            </w:r>
          </w:p>
        </w:tc>
        <w:tc>
          <w:tcPr>
            <w:tcW w:w="740" w:type="dxa"/>
            <w:vAlign w:val="bottom"/>
          </w:tcPr>
          <w:p>
            <w:pPr>
              <w:spacing w:after="0"/>
              <w:rPr>
                <w:sz w:val="16"/>
                <w:szCs w:val="16"/>
                <w:color w:val="auto"/>
              </w:rPr>
            </w:pPr>
          </w:p>
        </w:tc>
      </w:tr>
      <w:tr>
        <w:trPr>
          <w:trHeight w:val="188"/>
        </w:trPr>
        <w:tc>
          <w:tcPr>
            <w:tcW w:w="40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DEFERRED BENEFIT PLAN - ESOP</w:t>
            </w:r>
          </w:p>
        </w:tc>
        <w:tc>
          <w:tcPr>
            <w:tcW w:w="64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(221,047)</w:t>
            </w:r>
          </w:p>
        </w:tc>
        <w:tc>
          <w:tcPr>
            <w:tcW w:w="152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(221,047)</w:t>
            </w:r>
          </w:p>
        </w:tc>
        <w:tc>
          <w:tcPr>
            <w:tcW w:w="740" w:type="dxa"/>
            <w:vAlign w:val="bottom"/>
          </w:tcPr>
          <w:p>
            <w:pPr>
              <w:spacing w:after="0"/>
              <w:rPr>
                <w:sz w:val="16"/>
                <w:szCs w:val="16"/>
                <w:color w:val="auto"/>
              </w:rPr>
            </w:pP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RETAINED EARNINGS</w:t>
            </w: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927,032</w:t>
            </w:r>
          </w:p>
        </w:tc>
        <w:tc>
          <w:tcPr>
            <w:tcW w:w="15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(22,529)</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904,503</w:t>
            </w:r>
          </w:p>
        </w:tc>
        <w:tc>
          <w:tcPr>
            <w:tcW w:w="740" w:type="dxa"/>
            <w:vAlign w:val="bottom"/>
          </w:tcPr>
          <w:p>
            <w:pPr>
              <w:spacing w:after="0"/>
              <w:rPr>
                <w:sz w:val="16"/>
                <w:szCs w:val="16"/>
                <w:color w:val="auto"/>
              </w:rPr>
            </w:pPr>
          </w:p>
        </w:tc>
      </w:tr>
      <w:tr>
        <w:trPr>
          <w:trHeight w:val="188"/>
        </w:trPr>
        <w:tc>
          <w:tcPr>
            <w:tcW w:w="1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80" w:type="dxa"/>
            <w:vAlign w:val="bottom"/>
            <w:gridSpan w:val="4"/>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406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TOTAL COMMON STOCKHOLDER'S EQUITY</w:t>
            </w:r>
          </w:p>
        </w:tc>
        <w:tc>
          <w:tcPr>
            <w:tcW w:w="19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90.5% 2,280,170</w:t>
            </w:r>
          </w:p>
        </w:tc>
        <w:tc>
          <w:tcPr>
            <w:tcW w:w="15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(22,529)</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2,257,641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90.4%</w:t>
            </w:r>
          </w:p>
        </w:tc>
      </w:tr>
      <w:tr>
        <w:trPr>
          <w:trHeight w:val="188"/>
        </w:trPr>
        <w:tc>
          <w:tcPr>
            <w:tcW w:w="1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80" w:type="dxa"/>
            <w:vAlign w:val="bottom"/>
            <w:gridSpan w:val="4"/>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4060" w:type="dxa"/>
            <w:vAlign w:val="bottom"/>
            <w:gridSpan w:val="2"/>
          </w:tcPr>
          <w:p>
            <w:pPr>
              <w:ind w:left="1660"/>
              <w:spacing w:after="0"/>
              <w:rPr>
                <w:sz w:val="20"/>
                <w:szCs w:val="20"/>
                <w:color w:val="auto"/>
              </w:rPr>
            </w:pPr>
            <w:r>
              <w:rPr>
                <w:rFonts w:ascii="Courier New" w:cs="Courier New" w:eastAsia="Courier New" w:hAnsi="Courier New"/>
                <w:sz w:val="16"/>
                <w:szCs w:val="16"/>
                <w:color w:val="auto"/>
              </w:rPr>
              <w:t>TOTAL CAPITAL</w:t>
            </w:r>
          </w:p>
        </w:tc>
        <w:tc>
          <w:tcPr>
            <w:tcW w:w="19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100.0%$2,519,170</w:t>
            </w:r>
          </w:p>
        </w:tc>
        <w:tc>
          <w:tcPr>
            <w:tcW w:w="15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(22,529)</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$2,496,641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bl>
    <w:p>
      <w:pPr>
        <w:sectPr>
          <w:pgSz w:w="11900" w:h="16838" w:orient="portrait"/>
          <w:cols w:equalWidth="0" w:num="1">
            <w:col w:w="10219"/>
          </w:cols>
          <w:pgMar w:left="240" w:top="330" w:right="1440" w:bottom="1125" w:gutter="0" w:footer="0" w:header="0"/>
        </w:sectPr>
      </w:pPr>
    </w:p>
    <w:bookmarkStart w:id="30" w:name="page31"/>
    <w:bookmarkEnd w:id="30"/>
    <w:p>
      <w:pPr>
        <w:ind w:left="3720"/>
        <w:spacing w:after="0"/>
        <w:rPr>
          <w:sz w:val="20"/>
          <w:szCs w:val="20"/>
          <w:color w:val="auto"/>
        </w:rPr>
      </w:pPr>
      <w:r>
        <w:rPr>
          <w:rFonts w:ascii="Courier New" w:cs="Courier New" w:eastAsia="Courier New" w:hAnsi="Courier New"/>
          <w:sz w:val="16"/>
          <w:szCs w:val="16"/>
          <w:color w:val="auto"/>
        </w:rPr>
        <w:t>NORTHEAST UTILITIES (PARENT)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EXPLANATION OF ADJUSTMENTS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(THOUSANDS OF DOLLARS)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FINANCIAL STATEMENT 1.2.1 PAGE 3 OF 3</w:t>
      </w:r>
    </w:p>
    <w:p>
      <w:pPr>
        <w:sectPr>
          <w:pgSz w:w="11900" w:h="16838" w:orient="portrait"/>
          <w:cols w:equalWidth="0" w:num="1">
            <w:col w:w="11520"/>
          </w:cols>
          <w:pgMar w:left="240" w:top="492" w:right="139" w:bottom="1440" w:gutter="0" w:footer="0" w:header="0"/>
        </w:sectPr>
      </w:pPr>
    </w:p>
    <w:p>
      <w:pPr>
        <w:spacing w:after="0" w:line="195"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DEBIT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w:t>
      </w:r>
    </w:p>
    <w:p>
      <w:pPr>
        <w:spacing w:after="0" w:line="195" w:lineRule="exact"/>
        <w:rPr>
          <w:sz w:val="20"/>
          <w:szCs w:val="20"/>
          <w:color w:val="auto"/>
        </w:rPr>
      </w:pPr>
    </w:p>
    <w:p>
      <w:pPr>
        <w:sectPr>
          <w:pgSz w:w="11900" w:h="16838" w:orient="portrait"/>
          <w:cols w:equalWidth="0" w:num="2">
            <w:col w:w="7100" w:space="720"/>
            <w:col w:w="3700"/>
          </w:cols>
          <w:pgMar w:left="240" w:top="492" w:right="139" w:bottom="1440" w:gutter="0" w:footer="0" w:header="0"/>
          <w:type w:val="continuous"/>
        </w:sectPr>
      </w:pPr>
    </w:p>
    <w:p>
      <w:pPr>
        <w:spacing w:after="0"/>
        <w:tabs>
          <w:tab w:leader="none" w:pos="560" w:val="left"/>
        </w:tabs>
        <w:rPr>
          <w:sz w:val="20"/>
          <w:szCs w:val="20"/>
          <w:color w:val="auto"/>
        </w:rPr>
      </w:pPr>
      <w:r>
        <w:rPr>
          <w:rFonts w:ascii="Courier New" w:cs="Courier New" w:eastAsia="Courier New" w:hAnsi="Courier New"/>
          <w:sz w:val="16"/>
          <w:szCs w:val="16"/>
          <w:color w:val="auto"/>
        </w:rPr>
        <w:t>(a)</w:t>
        <w:tab/>
        <w:t>CASH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$69,000</w:t>
      </w:r>
    </w:p>
    <w:p>
      <w:pPr>
        <w:spacing w:after="0" w:line="7" w:lineRule="exact"/>
        <w:rPr>
          <w:sz w:val="20"/>
          <w:szCs w:val="20"/>
          <w:color w:val="auto"/>
        </w:rPr>
      </w:pPr>
    </w:p>
    <w:p>
      <w:pPr>
        <w:sectPr>
          <w:pgSz w:w="11900" w:h="16838" w:orient="portrait"/>
          <w:cols w:equalWidth="0" w:num="2">
            <w:col w:w="5740" w:space="720"/>
            <w:col w:w="5060"/>
          </w:cols>
          <w:pgMar w:left="240" w:top="492" w:right="139" w:bottom="1440" w:gutter="0" w:footer="0" w:header="0"/>
          <w:type w:val="continuous"/>
        </w:sectPr>
      </w:pPr>
    </w:p>
    <w:p>
      <w:pPr>
        <w:ind w:left="1460"/>
        <w:spacing w:after="0"/>
        <w:rPr>
          <w:sz w:val="20"/>
          <w:szCs w:val="20"/>
          <w:color w:val="auto"/>
        </w:rPr>
      </w:pPr>
      <w:r>
        <w:rPr>
          <w:rFonts w:ascii="Courier New" w:cs="Courier New" w:eastAsia="Courier New" w:hAnsi="Courier New"/>
          <w:sz w:val="16"/>
          <w:szCs w:val="16"/>
          <w:color w:val="auto"/>
        </w:rPr>
        <w:t>NOTES PAYABLE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$69,000</w:t>
      </w:r>
    </w:p>
    <w:p>
      <w:pPr>
        <w:spacing w:after="0" w:line="195" w:lineRule="exact"/>
        <w:rPr>
          <w:sz w:val="20"/>
          <w:szCs w:val="20"/>
          <w:color w:val="auto"/>
        </w:rPr>
      </w:pPr>
    </w:p>
    <w:p>
      <w:pPr>
        <w:sectPr>
          <w:pgSz w:w="11900" w:h="16838" w:orient="portrait"/>
          <w:cols w:equalWidth="0" w:num="2">
            <w:col w:w="7300" w:space="720"/>
            <w:col w:w="3500"/>
          </w:cols>
          <w:pgMar w:left="240" w:top="492" w:right="1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record the additional proposed borrowing up to the entire $150 million available to the company.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34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OTHER INTEREST EXPENSE</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40" w:type="dxa"/>
            <w:vAlign w:val="bottom"/>
          </w:tcPr>
          <w:p>
            <w:pPr>
              <w:jc w:val="right"/>
              <w:ind w:right="4219"/>
              <w:spacing w:after="0"/>
              <w:rPr>
                <w:sz w:val="20"/>
                <w:szCs w:val="20"/>
                <w:color w:val="auto"/>
              </w:rPr>
            </w:pPr>
            <w:r>
              <w:rPr>
                <w:rFonts w:ascii="Courier New" w:cs="Courier New" w:eastAsia="Courier New" w:hAnsi="Courier New"/>
                <w:sz w:val="16"/>
                <w:szCs w:val="16"/>
                <w:color w:val="auto"/>
              </w:rPr>
              <w:t>5,348</w:t>
            </w:r>
          </w:p>
        </w:tc>
      </w:tr>
      <w:tr>
        <w:trPr>
          <w:trHeight w:val="188"/>
        </w:trPr>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Courier New" w:cs="Courier New" w:eastAsia="Courier New" w:hAnsi="Courier New"/>
                <w:sz w:val="16"/>
                <w:szCs w:val="16"/>
                <w:color w:val="auto"/>
              </w:rPr>
              <w:t>ACCRUED INTEREST</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40" w:type="dxa"/>
            <w:vAlign w:val="bottom"/>
          </w:tcPr>
          <w:p>
            <w:pPr>
              <w:jc w:val="right"/>
              <w:ind w:right="2659"/>
              <w:spacing w:after="0"/>
              <w:rPr>
                <w:sz w:val="20"/>
                <w:szCs w:val="20"/>
                <w:color w:val="auto"/>
              </w:rPr>
            </w:pPr>
            <w:r>
              <w:rPr>
                <w:rFonts w:ascii="Courier New" w:cs="Courier New" w:eastAsia="Courier New" w:hAnsi="Courier New"/>
                <w:sz w:val="16"/>
                <w:szCs w:val="16"/>
                <w:color w:val="auto"/>
              </w:rPr>
              <w:t>5,348</w:t>
            </w:r>
          </w:p>
        </w:tc>
      </w:tr>
      <w:tr>
        <w:trPr>
          <w:trHeight w:val="376"/>
        </w:trPr>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rPr>
              <w:t>To record the</w:t>
            </w:r>
          </w:p>
        </w:tc>
        <w:tc>
          <w:tcPr>
            <w:tcW w:w="1012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interest expense on the additional proposed borrowing at Prime:</w:t>
            </w:r>
          </w:p>
        </w:tc>
      </w:tr>
      <w:tr>
        <w:trPr>
          <w:trHeight w:val="188"/>
        </w:trPr>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$69,000</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x</w:t>
            </w:r>
          </w:p>
        </w:tc>
        <w:tc>
          <w:tcPr>
            <w:tcW w:w="13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7.75%</w:t>
            </w:r>
          </w:p>
        </w:tc>
        <w:tc>
          <w:tcPr>
            <w:tcW w:w="5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5240" w:type="dxa"/>
            <w:vAlign w:val="bottom"/>
          </w:tcPr>
          <w:p>
            <w:pPr>
              <w:jc w:val="right"/>
              <w:ind w:right="2659"/>
              <w:spacing w:after="0"/>
              <w:rPr>
                <w:sz w:val="20"/>
                <w:szCs w:val="20"/>
                <w:color w:val="auto"/>
              </w:rPr>
            </w:pPr>
            <w:r>
              <w:rPr>
                <w:rFonts w:ascii="Courier New" w:cs="Courier New" w:eastAsia="Courier New" w:hAnsi="Courier New"/>
                <w:sz w:val="16"/>
                <w:szCs w:val="16"/>
                <w:color w:val="auto"/>
              </w:rPr>
              <w:t>5,348</w:t>
            </w:r>
          </w:p>
        </w:tc>
      </w:tr>
      <w:tr>
        <w:trPr>
          <w:trHeight w:val="564"/>
        </w:trPr>
        <w:tc>
          <w:tcPr>
            <w:tcW w:w="44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ACCRUED</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TAXES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40" w:type="dxa"/>
            <w:vAlign w:val="bottom"/>
          </w:tcPr>
          <w:p>
            <w:pPr>
              <w:jc w:val="right"/>
              <w:ind w:right="4219"/>
              <w:spacing w:after="0"/>
              <w:rPr>
                <w:sz w:val="20"/>
                <w:szCs w:val="20"/>
                <w:color w:val="auto"/>
              </w:rPr>
            </w:pPr>
            <w:r>
              <w:rPr>
                <w:rFonts w:ascii="Courier New" w:cs="Courier New" w:eastAsia="Courier New" w:hAnsi="Courier New"/>
                <w:sz w:val="16"/>
                <w:szCs w:val="16"/>
                <w:color w:val="auto"/>
              </w:rPr>
              <w:t>1,872</w:t>
            </w:r>
          </w:p>
        </w:tc>
      </w:tr>
      <w:tr>
        <w:trPr>
          <w:trHeight w:val="188"/>
        </w:trPr>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FEDERAL AND STATE INCOME TAX</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EXPENSE</w:t>
            </w:r>
          </w:p>
        </w:tc>
        <w:tc>
          <w:tcPr>
            <w:tcW w:w="580" w:type="dxa"/>
            <w:vAlign w:val="bottom"/>
          </w:tcPr>
          <w:p>
            <w:pPr>
              <w:spacing w:after="0"/>
              <w:rPr>
                <w:sz w:val="16"/>
                <w:szCs w:val="16"/>
                <w:color w:val="auto"/>
              </w:rPr>
            </w:pPr>
          </w:p>
        </w:tc>
        <w:tc>
          <w:tcPr>
            <w:tcW w:w="5240" w:type="dxa"/>
            <w:vAlign w:val="bottom"/>
          </w:tcPr>
          <w:p>
            <w:pPr>
              <w:jc w:val="right"/>
              <w:ind w:right="2659"/>
              <w:spacing w:after="0"/>
              <w:rPr>
                <w:sz w:val="20"/>
                <w:szCs w:val="20"/>
                <w:color w:val="auto"/>
              </w:rPr>
            </w:pPr>
            <w:r>
              <w:rPr>
                <w:rFonts w:ascii="Courier New" w:cs="Courier New" w:eastAsia="Courier New" w:hAnsi="Courier New"/>
                <w:sz w:val="16"/>
                <w:szCs w:val="16"/>
                <w:color w:val="auto"/>
              </w:rPr>
              <w:t>1,872</w:t>
            </w:r>
          </w:p>
        </w:tc>
      </w:tr>
      <w:tr>
        <w:trPr>
          <w:trHeight w:val="376"/>
        </w:trPr>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rPr>
              <w:t>To record the</w:t>
            </w:r>
          </w:p>
        </w:tc>
        <w:tc>
          <w:tcPr>
            <w:tcW w:w="1012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reduction in Federal and State income taxes due to the higher interest and fee expenses:</w:t>
            </w:r>
          </w:p>
        </w:tc>
      </w:tr>
      <w:tr>
        <w:trPr>
          <w:trHeight w:val="188"/>
        </w:trPr>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$5,348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x</w:t>
            </w:r>
          </w:p>
        </w:tc>
        <w:tc>
          <w:tcPr>
            <w:tcW w:w="13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35.00%</w:t>
            </w:r>
          </w:p>
        </w:tc>
        <w:tc>
          <w:tcPr>
            <w:tcW w:w="5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5240" w:type="dxa"/>
            <w:vAlign w:val="bottom"/>
          </w:tcPr>
          <w:p>
            <w:pPr>
              <w:jc w:val="right"/>
              <w:ind w:right="2659"/>
              <w:spacing w:after="0"/>
              <w:rPr>
                <w:sz w:val="20"/>
                <w:szCs w:val="20"/>
                <w:color w:val="auto"/>
              </w:rPr>
            </w:pPr>
            <w:r>
              <w:rPr>
                <w:rFonts w:ascii="Courier New" w:cs="Courier New" w:eastAsia="Courier New" w:hAnsi="Courier New"/>
                <w:sz w:val="16"/>
                <w:szCs w:val="16"/>
                <w:color w:val="auto"/>
              </w:rPr>
              <w:t>1,872</w:t>
            </w:r>
          </w:p>
        </w:tc>
      </w:tr>
      <w:tr>
        <w:trPr>
          <w:trHeight w:val="564"/>
        </w:trPr>
        <w:tc>
          <w:tcPr>
            <w:tcW w:w="440" w:type="dxa"/>
            <w:vAlign w:val="bottom"/>
          </w:tcPr>
          <w:p>
            <w:pPr>
              <w:spacing w:after="0"/>
              <w:rPr>
                <w:sz w:val="20"/>
                <w:szCs w:val="20"/>
                <w:color w:val="auto"/>
              </w:rPr>
            </w:pPr>
            <w:r>
              <w:rPr>
                <w:rFonts w:ascii="Courier New" w:cs="Courier New" w:eastAsia="Courier New" w:hAnsi="Courier New"/>
                <w:sz w:val="16"/>
                <w:szCs w:val="16"/>
                <w:color w:val="auto"/>
              </w:rPr>
              <w:t>(d)</w:t>
            </w:r>
          </w:p>
        </w:tc>
        <w:tc>
          <w:tcPr>
            <w:tcW w:w="34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EQUITY EARNINGS OF SUBSIDIARIES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40" w:type="dxa"/>
            <w:vAlign w:val="bottom"/>
          </w:tcPr>
          <w:p>
            <w:pPr>
              <w:jc w:val="right"/>
              <w:ind w:right="4219"/>
              <w:spacing w:after="0"/>
              <w:rPr>
                <w:sz w:val="20"/>
                <w:szCs w:val="20"/>
                <w:color w:val="auto"/>
              </w:rPr>
            </w:pPr>
            <w:r>
              <w:rPr>
                <w:rFonts w:ascii="Courier New" w:cs="Courier New" w:eastAsia="Courier New" w:hAnsi="Courier New"/>
                <w:sz w:val="16"/>
                <w:szCs w:val="16"/>
                <w:color w:val="auto"/>
              </w:rPr>
              <w:t>19,053</w:t>
            </w:r>
          </w:p>
        </w:tc>
      </w:tr>
      <w:tr>
        <w:trPr>
          <w:trHeight w:val="188"/>
        </w:trPr>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30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INVESTMENT IN SUBSIDIARY COMPANIES</w:t>
            </w:r>
          </w:p>
        </w:tc>
        <w:tc>
          <w:tcPr>
            <w:tcW w:w="580" w:type="dxa"/>
            <w:vAlign w:val="bottom"/>
          </w:tcPr>
          <w:p>
            <w:pPr>
              <w:spacing w:after="0"/>
              <w:rPr>
                <w:sz w:val="16"/>
                <w:szCs w:val="16"/>
                <w:color w:val="auto"/>
              </w:rPr>
            </w:pPr>
          </w:p>
        </w:tc>
        <w:tc>
          <w:tcPr>
            <w:tcW w:w="5240" w:type="dxa"/>
            <w:vAlign w:val="bottom"/>
          </w:tcPr>
          <w:p>
            <w:pPr>
              <w:jc w:val="right"/>
              <w:ind w:right="2659"/>
              <w:spacing w:after="0"/>
              <w:rPr>
                <w:sz w:val="20"/>
                <w:szCs w:val="20"/>
                <w:color w:val="auto"/>
              </w:rPr>
            </w:pPr>
            <w:r>
              <w:rPr>
                <w:rFonts w:ascii="Courier New" w:cs="Courier New" w:eastAsia="Courier New" w:hAnsi="Courier New"/>
                <w:sz w:val="16"/>
                <w:szCs w:val="16"/>
                <w:color w:val="auto"/>
              </w:rPr>
              <w:t>19,053</w:t>
            </w:r>
          </w:p>
        </w:tc>
      </w:tr>
      <w:tr>
        <w:trPr>
          <w:trHeight w:val="376"/>
        </w:trPr>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rPr>
              <w:t>Consolidating</w:t>
            </w:r>
          </w:p>
        </w:tc>
        <w:tc>
          <w:tcPr>
            <w:tcW w:w="2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entry  to reflect the changes</w:t>
            </w:r>
          </w:p>
        </w:tc>
        <w:tc>
          <w:tcPr>
            <w:tcW w:w="71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in all the subsidairies short-term debt levels on the books of NU Parent.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The prime rate and tax rate reflected above represent the rates in effect as of the October 3, 1994 filing date.</w:t>
      </w:r>
    </w:p>
    <w:p>
      <w:pPr>
        <w:sectPr>
          <w:pgSz w:w="11900" w:h="16838" w:orient="portrait"/>
          <w:cols w:equalWidth="0" w:num="1">
            <w:col w:w="11520"/>
          </w:cols>
          <w:pgMar w:left="240" w:top="492" w:right="139" w:bottom="1440" w:gutter="0" w:footer="0" w:header="0"/>
          <w:type w:val="continuous"/>
        </w:sectPr>
      </w:pPr>
    </w:p>
    <w:bookmarkStart w:id="31" w:name="page32"/>
    <w:bookmarkEnd w:id="31"/>
    <w:p>
      <w:pPr>
        <w:ind w:left="3620"/>
        <w:spacing w:after="0"/>
        <w:rPr>
          <w:sz w:val="20"/>
          <w:szCs w:val="20"/>
          <w:color w:val="auto"/>
        </w:rPr>
      </w:pPr>
      <w:r>
        <w:rPr>
          <w:rFonts w:ascii="Courier New" w:cs="Courier New" w:eastAsia="Courier New" w:hAnsi="Courier New"/>
          <w:sz w:val="16"/>
          <w:szCs w:val="16"/>
          <w:color w:val="auto"/>
        </w:rPr>
        <w:t>NORTHEAST UTILITIES AND SUBSIDIARIES</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CONSOLIDATED BALANCE SHEET</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AS OF JUNE 30, 1994</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(THOUSANDS OF DOLLARS)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FINANCIAL STATEMENT 11.1.1 PAGE 1 OF 2</w:t>
            </w:r>
          </w:p>
        </w:tc>
        <w:tc>
          <w:tcPr>
            <w:tcW w:w="1860" w:type="dxa"/>
            <w:vAlign w:val="bottom"/>
          </w:tcPr>
          <w:p>
            <w:pPr>
              <w:spacing w:after="0"/>
              <w:rPr>
                <w:sz w:val="15"/>
                <w:szCs w:val="15"/>
                <w:color w:val="auto"/>
              </w:rPr>
            </w:pPr>
          </w:p>
        </w:tc>
      </w:tr>
      <w:tr>
        <w:trPr>
          <w:trHeight w:val="376"/>
        </w:trPr>
        <w:tc>
          <w:tcPr>
            <w:tcW w:w="4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PRO FORMA</w:t>
            </w:r>
          </w:p>
        </w:tc>
      </w:tr>
      <w:tr>
        <w:trPr>
          <w:trHeight w:val="188"/>
        </w:trPr>
        <w:tc>
          <w:tcPr>
            <w:tcW w:w="4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jc w:val="center"/>
              <w:ind w:right="519"/>
              <w:spacing w:after="0"/>
              <w:rPr>
                <w:sz w:val="20"/>
                <w:szCs w:val="20"/>
                <w:color w:val="auto"/>
              </w:rPr>
            </w:pPr>
            <w:r>
              <w:rPr>
                <w:rFonts w:ascii="Courier New" w:cs="Courier New" w:eastAsia="Courier New" w:hAnsi="Courier New"/>
                <w:sz w:val="16"/>
                <w:szCs w:val="16"/>
                <w:color w:val="auto"/>
              </w:rPr>
              <w:t>GIVING EFFECT</w:t>
            </w:r>
          </w:p>
        </w:tc>
      </w:tr>
      <w:tr>
        <w:trPr>
          <w:trHeight w:val="188"/>
        </w:trPr>
        <w:tc>
          <w:tcPr>
            <w:tcW w:w="4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PRO FORMA</w:t>
            </w:r>
          </w:p>
        </w:tc>
        <w:tc>
          <w:tcPr>
            <w:tcW w:w="1860" w:type="dxa"/>
            <w:vAlign w:val="bottom"/>
          </w:tcPr>
          <w:p>
            <w:pPr>
              <w:jc w:val="center"/>
              <w:ind w:right="519"/>
              <w:spacing w:after="0"/>
              <w:rPr>
                <w:sz w:val="20"/>
                <w:szCs w:val="20"/>
                <w:color w:val="auto"/>
              </w:rPr>
            </w:pPr>
            <w:r>
              <w:rPr>
                <w:rFonts w:ascii="Courier New" w:cs="Courier New" w:eastAsia="Courier New" w:hAnsi="Courier New"/>
                <w:sz w:val="16"/>
                <w:szCs w:val="16"/>
                <w:color w:val="auto"/>
              </w:rPr>
              <w:t>TO PROPOSED</w:t>
            </w:r>
          </w:p>
        </w:tc>
      </w:tr>
      <w:tr>
        <w:trPr>
          <w:trHeight w:val="188"/>
        </w:trPr>
        <w:tc>
          <w:tcPr>
            <w:tcW w:w="49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PER BOOK</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ADJUSTMENTS*</w:t>
            </w:r>
          </w:p>
        </w:tc>
        <w:tc>
          <w:tcPr>
            <w:tcW w:w="1860" w:type="dxa"/>
            <w:vAlign w:val="bottom"/>
          </w:tcPr>
          <w:p>
            <w:pPr>
              <w:jc w:val="center"/>
              <w:ind w:right="519"/>
              <w:spacing w:after="0"/>
              <w:rPr>
                <w:sz w:val="20"/>
                <w:szCs w:val="20"/>
                <w:color w:val="auto"/>
              </w:rPr>
            </w:pPr>
            <w:r>
              <w:rPr>
                <w:rFonts w:ascii="Courier New" w:cs="Courier New" w:eastAsia="Courier New" w:hAnsi="Courier New"/>
                <w:sz w:val="16"/>
                <w:szCs w:val="16"/>
                <w:color w:val="auto"/>
              </w:rPr>
              <w:t>TRANSACTION</w:t>
            </w:r>
          </w:p>
        </w:tc>
      </w:tr>
      <w:tr>
        <w:trPr>
          <w:trHeight w:val="564"/>
        </w:trPr>
        <w:tc>
          <w:tcPr>
            <w:tcW w:w="49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76"/>
        </w:trPr>
        <w:tc>
          <w:tcPr>
            <w:tcW w:w="4940" w:type="dxa"/>
            <w:vAlign w:val="bottom"/>
          </w:tcPr>
          <w:p>
            <w:pPr>
              <w:spacing w:after="0"/>
              <w:rPr>
                <w:sz w:val="20"/>
                <w:szCs w:val="20"/>
                <w:color w:val="auto"/>
              </w:rPr>
            </w:pPr>
            <w:r>
              <w:rPr>
                <w:rFonts w:ascii="Courier New" w:cs="Courier New" w:eastAsia="Courier New" w:hAnsi="Courier New"/>
                <w:sz w:val="16"/>
                <w:szCs w:val="16"/>
                <w:color w:val="auto"/>
              </w:rPr>
              <w:t>UTILITY  PLANT,  AT ORIGINAL COST:</w:t>
            </w: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ELECTRIC &amp; OTHER</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$9,392,696</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$9,392,696</w:t>
            </w:r>
          </w:p>
        </w:tc>
      </w:tr>
      <w:tr>
        <w:trPr>
          <w:trHeight w:val="376"/>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LESS: ACCUMULATED PROVISION FOR</w:t>
            </w: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4940" w:type="dxa"/>
            <w:vAlign w:val="bottom"/>
          </w:tcPr>
          <w:p>
            <w:pPr>
              <w:ind w:left="1280"/>
              <w:spacing w:after="0"/>
              <w:rPr>
                <w:sz w:val="20"/>
                <w:szCs w:val="20"/>
                <w:color w:val="auto"/>
              </w:rPr>
            </w:pPr>
            <w:r>
              <w:rPr>
                <w:rFonts w:ascii="Courier New" w:cs="Courier New" w:eastAsia="Courier New" w:hAnsi="Courier New"/>
                <w:sz w:val="16"/>
                <w:szCs w:val="16"/>
                <w:color w:val="auto"/>
              </w:rPr>
              <w:t>DEPRECIATION</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3,163,003</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3,163,003</w:t>
            </w:r>
          </w:p>
        </w:tc>
      </w:tr>
      <w:tr>
        <w:trPr>
          <w:trHeight w:val="188"/>
        </w:trPr>
        <w:tc>
          <w:tcPr>
            <w:tcW w:w="4940" w:type="dxa"/>
            <w:vAlign w:val="bottom"/>
          </w:tcPr>
          <w:p>
            <w:pPr>
              <w:spacing w:after="0"/>
              <w:rPr>
                <w:sz w:val="16"/>
                <w:szCs w:val="16"/>
                <w:color w:val="auto"/>
              </w:rPr>
            </w:pPr>
          </w:p>
        </w:tc>
        <w:tc>
          <w:tcPr>
            <w:tcW w:w="48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6,229,693</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6,229,693</w:t>
            </w:r>
          </w:p>
        </w:tc>
      </w:tr>
      <w:tr>
        <w:trPr>
          <w:trHeight w:val="376"/>
        </w:trPr>
        <w:tc>
          <w:tcPr>
            <w:tcW w:w="4940" w:type="dxa"/>
            <w:vAlign w:val="bottom"/>
          </w:tcPr>
          <w:p>
            <w:pPr>
              <w:spacing w:after="0"/>
              <w:rPr>
                <w:sz w:val="20"/>
                <w:szCs w:val="20"/>
                <w:color w:val="auto"/>
              </w:rPr>
            </w:pPr>
            <w:r>
              <w:rPr>
                <w:rFonts w:ascii="Courier New" w:cs="Courier New" w:eastAsia="Courier New" w:hAnsi="Courier New"/>
                <w:sz w:val="16"/>
                <w:szCs w:val="16"/>
                <w:color w:val="auto"/>
              </w:rPr>
              <w:t>CONSTRUCTION WORK IN PROGRESS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180,211</w:t>
            </w:r>
          </w:p>
        </w:tc>
        <w:tc>
          <w:tcPr>
            <w:tcW w:w="1660" w:type="dxa"/>
            <w:vAlign w:val="bottom"/>
          </w:tcPr>
          <w:p>
            <w:pPr>
              <w:spacing w:after="0"/>
              <w:rPr>
                <w:sz w:val="24"/>
                <w:szCs w:val="24"/>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180,211</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NUCLEAR FUEL, NET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222,705</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222,705</w:t>
            </w:r>
          </w:p>
        </w:tc>
      </w:tr>
      <w:tr>
        <w:trPr>
          <w:trHeight w:val="188"/>
        </w:trPr>
        <w:tc>
          <w:tcPr>
            <w:tcW w:w="4940" w:type="dxa"/>
            <w:vAlign w:val="bottom"/>
          </w:tcPr>
          <w:p>
            <w:pPr>
              <w:spacing w:after="0"/>
              <w:rPr>
                <w:sz w:val="16"/>
                <w:szCs w:val="16"/>
                <w:color w:val="auto"/>
              </w:rPr>
            </w:pPr>
          </w:p>
        </w:tc>
        <w:tc>
          <w:tcPr>
            <w:tcW w:w="48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ind w:left="580"/>
              <w:spacing w:after="0"/>
              <w:rPr>
                <w:sz w:val="20"/>
                <w:szCs w:val="20"/>
                <w:color w:val="auto"/>
              </w:rPr>
            </w:pPr>
            <w:r>
              <w:rPr>
                <w:rFonts w:ascii="Courier New" w:cs="Courier New" w:eastAsia="Courier New" w:hAnsi="Courier New"/>
                <w:sz w:val="16"/>
                <w:szCs w:val="16"/>
                <w:color w:val="auto"/>
              </w:rPr>
              <w:t>TOTAL NET UTILITY PLANT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6,632,609</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6,632,609</w:t>
            </w:r>
          </w:p>
        </w:tc>
      </w:tr>
      <w:tr>
        <w:trPr>
          <w:trHeight w:val="188"/>
        </w:trPr>
        <w:tc>
          <w:tcPr>
            <w:tcW w:w="4940" w:type="dxa"/>
            <w:vAlign w:val="bottom"/>
          </w:tcPr>
          <w:p>
            <w:pPr>
              <w:spacing w:after="0"/>
              <w:rPr>
                <w:sz w:val="16"/>
                <w:szCs w:val="16"/>
                <w:color w:val="auto"/>
              </w:rPr>
            </w:pPr>
          </w:p>
        </w:tc>
        <w:tc>
          <w:tcPr>
            <w:tcW w:w="48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r>
      <w:tr>
        <w:trPr>
          <w:trHeight w:val="376"/>
        </w:trPr>
        <w:tc>
          <w:tcPr>
            <w:tcW w:w="4940" w:type="dxa"/>
            <w:vAlign w:val="bottom"/>
          </w:tcPr>
          <w:p>
            <w:pPr>
              <w:spacing w:after="0"/>
              <w:rPr>
                <w:sz w:val="20"/>
                <w:szCs w:val="20"/>
                <w:color w:val="auto"/>
              </w:rPr>
            </w:pPr>
            <w:r>
              <w:rPr>
                <w:rFonts w:ascii="Courier New" w:cs="Courier New" w:eastAsia="Courier New" w:hAnsi="Courier New"/>
                <w:sz w:val="16"/>
                <w:szCs w:val="16"/>
                <w:color w:val="auto"/>
              </w:rPr>
              <w:t>OTHER PROPERTY AND INVESTMENTS:</w:t>
            </w: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NUCLEAR DECOMMISSIONING TRUST, AT MARKET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229,307</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229,307</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INVESTMENTS IN REGIONAL NUCLEAR</w:t>
            </w:r>
          </w:p>
        </w:tc>
        <w:tc>
          <w:tcPr>
            <w:tcW w:w="1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940" w:type="dxa"/>
            <w:vAlign w:val="bottom"/>
          </w:tcPr>
          <w:p>
            <w:pPr>
              <w:ind w:left="580"/>
              <w:spacing w:after="0"/>
              <w:rPr>
                <w:sz w:val="20"/>
                <w:szCs w:val="20"/>
                <w:color w:val="auto"/>
              </w:rPr>
            </w:pPr>
            <w:r>
              <w:rPr>
                <w:rFonts w:ascii="Courier New" w:cs="Courier New" w:eastAsia="Courier New" w:hAnsi="Courier New"/>
                <w:sz w:val="16"/>
                <w:szCs w:val="16"/>
                <w:color w:val="auto"/>
              </w:rPr>
              <w:t>GENERATING COMPANIES, AT EQUITY</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81,856</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81,856</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INVESTMENTS IN TRANSMISSION COMPANIES,</w:t>
            </w:r>
          </w:p>
        </w:tc>
        <w:tc>
          <w:tcPr>
            <w:tcW w:w="1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940" w:type="dxa"/>
            <w:vAlign w:val="bottom"/>
          </w:tcPr>
          <w:p>
            <w:pPr>
              <w:ind w:left="680"/>
              <w:spacing w:after="0"/>
              <w:rPr>
                <w:sz w:val="20"/>
                <w:szCs w:val="20"/>
                <w:color w:val="auto"/>
              </w:rPr>
            </w:pPr>
            <w:r>
              <w:rPr>
                <w:rFonts w:ascii="Courier New" w:cs="Courier New" w:eastAsia="Courier New" w:hAnsi="Courier New"/>
                <w:sz w:val="16"/>
                <w:szCs w:val="16"/>
                <w:color w:val="auto"/>
              </w:rPr>
              <w:t>AT EQUITY</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26,057</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26,057</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OTHER, AT COST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35,164</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35,164</w:t>
            </w:r>
          </w:p>
        </w:tc>
      </w:tr>
      <w:tr>
        <w:trPr>
          <w:trHeight w:val="188"/>
        </w:trPr>
        <w:tc>
          <w:tcPr>
            <w:tcW w:w="4940" w:type="dxa"/>
            <w:vAlign w:val="bottom"/>
          </w:tcPr>
          <w:p>
            <w:pPr>
              <w:spacing w:after="0"/>
              <w:rPr>
                <w:sz w:val="16"/>
                <w:szCs w:val="16"/>
                <w:color w:val="auto"/>
              </w:rPr>
            </w:pPr>
          </w:p>
        </w:tc>
        <w:tc>
          <w:tcPr>
            <w:tcW w:w="48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372,384</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372,384</w:t>
            </w:r>
          </w:p>
        </w:tc>
      </w:tr>
      <w:tr>
        <w:trPr>
          <w:trHeight w:val="188"/>
        </w:trPr>
        <w:tc>
          <w:tcPr>
            <w:tcW w:w="4940" w:type="dxa"/>
            <w:vAlign w:val="bottom"/>
          </w:tcPr>
          <w:p>
            <w:pPr>
              <w:spacing w:after="0"/>
              <w:rPr>
                <w:sz w:val="16"/>
                <w:szCs w:val="16"/>
                <w:color w:val="auto"/>
              </w:rPr>
            </w:pPr>
          </w:p>
        </w:tc>
        <w:tc>
          <w:tcPr>
            <w:tcW w:w="48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r>
      <w:tr>
        <w:trPr>
          <w:trHeight w:val="376"/>
        </w:trPr>
        <w:tc>
          <w:tcPr>
            <w:tcW w:w="49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CASH AND SPECIAL DEPOSITS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30,456</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484,500 (a)</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514,956</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RECEIVABLES, NET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348,894</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348,894</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RECEIVABLES FROM AFFILIATED COMPANIES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0</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ACCRUED UTILITY REVENUES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134,462</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134,462</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FUEL, MATERIAL AND SUPPLIES, AT</w:t>
            </w:r>
          </w:p>
        </w:tc>
        <w:tc>
          <w:tcPr>
            <w:tcW w:w="1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940" w:type="dxa"/>
            <w:vAlign w:val="bottom"/>
          </w:tcPr>
          <w:p>
            <w:pPr>
              <w:ind w:left="580"/>
              <w:spacing w:after="0"/>
              <w:rPr>
                <w:sz w:val="20"/>
                <w:szCs w:val="20"/>
                <w:color w:val="auto"/>
              </w:rPr>
            </w:pPr>
            <w:r>
              <w:rPr>
                <w:rFonts w:ascii="Courier New" w:cs="Courier New" w:eastAsia="Courier New" w:hAnsi="Courier New"/>
                <w:sz w:val="16"/>
                <w:szCs w:val="16"/>
                <w:color w:val="auto"/>
              </w:rPr>
              <w:t>AVERAGE COST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200,216</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200,216</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RECOVERABLE ENERGY COSTS, NET-CURRENT POSITION</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21,041</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21,041</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PREPAYMENTS AND OTHER</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44,802</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44,802</w:t>
            </w:r>
          </w:p>
        </w:tc>
      </w:tr>
      <w:tr>
        <w:trPr>
          <w:trHeight w:val="188"/>
        </w:trPr>
        <w:tc>
          <w:tcPr>
            <w:tcW w:w="4940" w:type="dxa"/>
            <w:vAlign w:val="bottom"/>
          </w:tcPr>
          <w:p>
            <w:pPr>
              <w:spacing w:after="0"/>
              <w:rPr>
                <w:sz w:val="16"/>
                <w:szCs w:val="16"/>
                <w:color w:val="auto"/>
              </w:rPr>
            </w:pPr>
          </w:p>
        </w:tc>
        <w:tc>
          <w:tcPr>
            <w:tcW w:w="48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ind w:left="580"/>
              <w:spacing w:after="0"/>
              <w:rPr>
                <w:sz w:val="20"/>
                <w:szCs w:val="20"/>
                <w:color w:val="auto"/>
              </w:rPr>
            </w:pPr>
            <w:r>
              <w:rPr>
                <w:rFonts w:ascii="Courier New" w:cs="Courier New" w:eastAsia="Courier New" w:hAnsi="Courier New"/>
                <w:sz w:val="16"/>
                <w:szCs w:val="16"/>
                <w:color w:val="auto"/>
              </w:rPr>
              <w:t>TOTAL CURRENT ASSETS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779,871</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484,500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1,264,371</w:t>
            </w:r>
          </w:p>
        </w:tc>
      </w:tr>
      <w:tr>
        <w:trPr>
          <w:trHeight w:val="188"/>
        </w:trPr>
        <w:tc>
          <w:tcPr>
            <w:tcW w:w="4940" w:type="dxa"/>
            <w:vAlign w:val="bottom"/>
          </w:tcPr>
          <w:p>
            <w:pPr>
              <w:spacing w:after="0"/>
              <w:rPr>
                <w:sz w:val="16"/>
                <w:szCs w:val="16"/>
                <w:color w:val="auto"/>
              </w:rPr>
            </w:pPr>
          </w:p>
        </w:tc>
        <w:tc>
          <w:tcPr>
            <w:tcW w:w="48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r>
      <w:tr>
        <w:trPr>
          <w:trHeight w:val="376"/>
        </w:trPr>
        <w:tc>
          <w:tcPr>
            <w:tcW w:w="4940" w:type="dxa"/>
            <w:vAlign w:val="bottom"/>
          </w:tcPr>
          <w:p>
            <w:pPr>
              <w:spacing w:after="0"/>
              <w:rPr>
                <w:sz w:val="20"/>
                <w:szCs w:val="20"/>
                <w:color w:val="auto"/>
              </w:rPr>
            </w:pPr>
            <w:r>
              <w:rPr>
                <w:rFonts w:ascii="Courier New" w:cs="Courier New" w:eastAsia="Courier New" w:hAnsi="Courier New"/>
                <w:sz w:val="16"/>
                <w:szCs w:val="16"/>
                <w:color w:val="auto"/>
              </w:rPr>
              <w:t>DEFERRED CHARGES:</w:t>
            </w: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REGULATORY ASSET-INCOME TAXES, NET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1,160,810</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1,160,810</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REGULATORY ASSET-PSNH</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724,453</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724,453</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UNAMORTIZED DEBT EXPENSE</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35,581</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35,581</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RECOVERABLE ENERGY COSTS,  NET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166,048</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166,048</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DEFERRED CONSERVATION AND LOAD-</w:t>
            </w:r>
          </w:p>
        </w:tc>
        <w:tc>
          <w:tcPr>
            <w:tcW w:w="1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940" w:type="dxa"/>
            <w:vAlign w:val="bottom"/>
          </w:tcPr>
          <w:p>
            <w:pPr>
              <w:ind w:left="680"/>
              <w:spacing w:after="0"/>
              <w:rPr>
                <w:sz w:val="20"/>
                <w:szCs w:val="20"/>
                <w:color w:val="auto"/>
              </w:rPr>
            </w:pPr>
            <w:r>
              <w:rPr>
                <w:rFonts w:ascii="Courier New" w:cs="Courier New" w:eastAsia="Courier New" w:hAnsi="Courier New"/>
                <w:sz w:val="16"/>
                <w:szCs w:val="16"/>
                <w:color w:val="auto"/>
              </w:rPr>
              <w:t>MANAGEMENT COSTS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107,755</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107,755</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DEFERRED DOE ASSESSMENT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50,433</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50,433</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DEFERRED COSTS - NUCLEAR PLANTS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271,099</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271,099</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AMORTIZABLE PROPERTY INVESTMENT -</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27,383</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27,383</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UNRECOVERED CONTRACT OBLIGATION-YAEC</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119,882</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119,882</w:t>
            </w:r>
          </w:p>
        </w:tc>
      </w:tr>
      <w:tr>
        <w:trPr>
          <w:trHeight w:val="188"/>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OTHER</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129,408</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129,408</w:t>
            </w:r>
          </w:p>
        </w:tc>
      </w:tr>
      <w:tr>
        <w:trPr>
          <w:trHeight w:val="188"/>
        </w:trPr>
        <w:tc>
          <w:tcPr>
            <w:tcW w:w="4940" w:type="dxa"/>
            <w:vAlign w:val="bottom"/>
          </w:tcPr>
          <w:p>
            <w:pPr>
              <w:spacing w:after="0"/>
              <w:rPr>
                <w:sz w:val="16"/>
                <w:szCs w:val="16"/>
                <w:color w:val="auto"/>
              </w:rPr>
            </w:pPr>
          </w:p>
        </w:tc>
        <w:tc>
          <w:tcPr>
            <w:tcW w:w="48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ind w:left="580"/>
              <w:spacing w:after="0"/>
              <w:rPr>
                <w:sz w:val="20"/>
                <w:szCs w:val="20"/>
                <w:color w:val="auto"/>
              </w:rPr>
            </w:pPr>
            <w:r>
              <w:rPr>
                <w:rFonts w:ascii="Courier New" w:cs="Courier New" w:eastAsia="Courier New" w:hAnsi="Courier New"/>
                <w:sz w:val="16"/>
                <w:szCs w:val="16"/>
                <w:color w:val="auto"/>
              </w:rPr>
              <w:t>TOTAL DEFERRED CHARGES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2,792,852</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2,792,852</w:t>
            </w:r>
          </w:p>
        </w:tc>
      </w:tr>
      <w:tr>
        <w:trPr>
          <w:trHeight w:val="188"/>
        </w:trPr>
        <w:tc>
          <w:tcPr>
            <w:tcW w:w="4940" w:type="dxa"/>
            <w:vAlign w:val="bottom"/>
          </w:tcPr>
          <w:p>
            <w:pPr>
              <w:spacing w:after="0"/>
              <w:rPr>
                <w:sz w:val="16"/>
                <w:szCs w:val="16"/>
                <w:color w:val="auto"/>
              </w:rPr>
            </w:pPr>
          </w:p>
        </w:tc>
        <w:tc>
          <w:tcPr>
            <w:tcW w:w="48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ind w:left="580"/>
              <w:spacing w:after="0"/>
              <w:rPr>
                <w:sz w:val="20"/>
                <w:szCs w:val="20"/>
                <w:color w:val="auto"/>
              </w:rPr>
            </w:pPr>
            <w:r>
              <w:rPr>
                <w:rFonts w:ascii="Courier New" w:cs="Courier New" w:eastAsia="Courier New" w:hAnsi="Courier New"/>
                <w:sz w:val="16"/>
                <w:szCs w:val="16"/>
                <w:color w:val="auto"/>
              </w:rPr>
              <w:t>TOTAL ASSETS</w:t>
            </w:r>
          </w:p>
        </w:tc>
        <w:tc>
          <w:tcPr>
            <w:tcW w:w="1320" w:type="dxa"/>
            <w:vAlign w:val="bottom"/>
          </w:tcPr>
          <w:p>
            <w:pPr>
              <w:ind w:left="140"/>
              <w:spacing w:after="0"/>
              <w:rPr>
                <w:sz w:val="20"/>
                <w:szCs w:val="20"/>
                <w:color w:val="auto"/>
              </w:rPr>
            </w:pPr>
            <w:r>
              <w:rPr>
                <w:rFonts w:ascii="Courier New" w:cs="Courier New" w:eastAsia="Courier New" w:hAnsi="Courier New"/>
                <w:sz w:val="16"/>
                <w:szCs w:val="16"/>
                <w:color w:val="auto"/>
              </w:rPr>
              <w:t>$10,577,716</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$484,500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$11,062,216</w:t>
            </w:r>
          </w:p>
        </w:tc>
      </w:tr>
    </w:tbl>
    <w:p>
      <w:pPr>
        <w:spacing w:after="0" w:line="380" w:lineRule="exact"/>
        <w:rPr>
          <w:sz w:val="20"/>
          <w:szCs w:val="20"/>
          <w:color w:val="auto"/>
        </w:rPr>
      </w:pPr>
    </w:p>
    <w:p>
      <w:pPr>
        <w:ind w:left="300" w:hanging="300"/>
        <w:spacing w:after="0"/>
        <w:tabs>
          <w:tab w:leader="none" w:pos="3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EXPLANATION AT FINANCIAL STATEMENT 11.2.1  PAGE 3 OF 3</w:t>
      </w:r>
    </w:p>
    <w:p>
      <w:pPr>
        <w:spacing w:after="0" w:line="3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NORTHEAST UTILITIES AND SUBSIDIARIES</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CONSOLIDATED BALANCE SHEET</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AS OF JUNE 30, 1994</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(THOUSANDS OF DOLLARS)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FINANCIAL STATEMENT 11.1.1 PAGE 2 OF 2</w:t>
      </w:r>
    </w:p>
    <w:p>
      <w:pPr>
        <w:sectPr>
          <w:pgSz w:w="11900" w:h="16838" w:orient="portrait"/>
          <w:cols w:equalWidth="0" w:num="1">
            <w:col w:w="10219"/>
          </w:cols>
          <w:pgMar w:left="240" w:top="33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PER BOOK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PRO FORMA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ADJUSTMENTS*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6"/>
          <w:szCs w:val="16"/>
          <w:color w:val="auto"/>
        </w:rPr>
        <w:t>PRO FORMA</w:t>
      </w:r>
    </w:p>
    <w:p>
      <w:pPr>
        <w:spacing w:after="0" w:line="7"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6"/>
          <w:szCs w:val="16"/>
          <w:color w:val="auto"/>
        </w:rPr>
        <w:t>GIVING EFFECT</w:t>
      </w:r>
    </w:p>
    <w:p>
      <w:pPr>
        <w:spacing w:after="0" w:line="7"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6"/>
          <w:szCs w:val="16"/>
          <w:color w:val="auto"/>
        </w:rPr>
        <w:t>TO PROPOSED</w:t>
      </w:r>
    </w:p>
    <w:p>
      <w:pPr>
        <w:spacing w:after="0" w:line="7"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6"/>
          <w:szCs w:val="16"/>
          <w:color w:val="auto"/>
        </w:rPr>
        <w:t>TRANSACTION</w:t>
      </w:r>
    </w:p>
    <w:p>
      <w:pPr>
        <w:spacing w:after="0" w:line="200" w:lineRule="exact"/>
        <w:rPr>
          <w:sz w:val="20"/>
          <w:szCs w:val="20"/>
          <w:color w:val="auto"/>
        </w:rPr>
      </w:pPr>
    </w:p>
    <w:p>
      <w:pPr>
        <w:sectPr>
          <w:pgSz w:w="11900" w:h="16838" w:orient="portrait"/>
          <w:cols w:equalWidth="0" w:num="3">
            <w:col w:w="5960" w:space="400"/>
            <w:col w:w="1160" w:space="400"/>
            <w:col w:w="2299"/>
          </w:cols>
          <w:pgMar w:left="240" w:top="330" w:right="1440" w:bottom="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CAPITALIZATION AND LIABILITIES</w:t>
      </w:r>
    </w:p>
    <w:p>
      <w:pPr>
        <w:sectPr>
          <w:pgSz w:w="11900" w:h="16838" w:orient="portrait"/>
          <w:cols w:equalWidth="0" w:num="1">
            <w:col w:w="10219"/>
          </w:cols>
          <w:pgMar w:left="240" w:top="330" w:right="1440" w:bottom="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20"/>
                <w:szCs w:val="20"/>
                <w:color w:val="auto"/>
              </w:rPr>
            </w:pPr>
            <w:r>
              <w:rPr>
                <w:rFonts w:ascii="Courier New" w:cs="Courier New" w:eastAsia="Courier New" w:hAnsi="Courier New"/>
                <w:sz w:val="16"/>
                <w:szCs w:val="16"/>
                <w:color w:val="auto"/>
              </w:rPr>
              <w:t>CAPITALIZATION:</w:t>
            </w:r>
          </w:p>
        </w:tc>
        <w:tc>
          <w:tcPr>
            <w:tcW w:w="24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COMMON SHARES</w:t>
            </w:r>
          </w:p>
        </w:tc>
        <w:tc>
          <w:tcPr>
            <w:tcW w:w="2440" w:type="dxa"/>
            <w:vAlign w:val="bottom"/>
          </w:tcPr>
          <w:p>
            <w:pPr>
              <w:spacing w:after="0"/>
              <w:rPr>
                <w:sz w:val="16"/>
                <w:szCs w:val="16"/>
                <w:color w:val="auto"/>
              </w:rPr>
            </w:pP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$671,048</w:t>
            </w:r>
          </w:p>
        </w:tc>
        <w:tc>
          <w:tcPr>
            <w:tcW w:w="11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$671,048</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CAPITAL SURPLUS,</w:t>
            </w:r>
          </w:p>
        </w:tc>
        <w:tc>
          <w:tcPr>
            <w:tcW w:w="2440" w:type="dxa"/>
            <w:vAlign w:val="bottom"/>
          </w:tcPr>
          <w:p>
            <w:pPr>
              <w:jc w:val="right"/>
              <w:ind w:right="1579"/>
              <w:spacing w:after="0"/>
              <w:rPr>
                <w:sz w:val="20"/>
                <w:szCs w:val="20"/>
                <w:color w:val="auto"/>
              </w:rPr>
            </w:pPr>
            <w:r>
              <w:rPr>
                <w:rFonts w:ascii="Courier New" w:cs="Courier New" w:eastAsia="Courier New" w:hAnsi="Courier New"/>
                <w:sz w:val="16"/>
                <w:szCs w:val="16"/>
                <w:color w:val="auto"/>
              </w:rPr>
              <w:t>PAID IN</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903,137</w:t>
            </w:r>
          </w:p>
        </w:tc>
        <w:tc>
          <w:tcPr>
            <w:tcW w:w="11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903,137</w:t>
            </w:r>
          </w:p>
        </w:tc>
      </w:tr>
      <w:tr>
        <w:trPr>
          <w:trHeight w:val="188"/>
        </w:trPr>
        <w:tc>
          <w:tcPr>
            <w:tcW w:w="44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DEFERRED BENEFIT PLAN-EMPLOYEE STOCK</w:t>
            </w:r>
          </w:p>
        </w:tc>
        <w:tc>
          <w:tcPr>
            <w:tcW w:w="2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1960" w:type="dxa"/>
            <w:vAlign w:val="bottom"/>
          </w:tcPr>
          <w:p>
            <w:pPr>
              <w:ind w:left="480"/>
              <w:spacing w:after="0"/>
              <w:rPr>
                <w:sz w:val="20"/>
                <w:szCs w:val="20"/>
                <w:color w:val="auto"/>
              </w:rPr>
            </w:pPr>
            <w:r>
              <w:rPr>
                <w:rFonts w:ascii="Courier New" w:cs="Courier New" w:eastAsia="Courier New" w:hAnsi="Courier New"/>
                <w:sz w:val="16"/>
                <w:szCs w:val="16"/>
                <w:color w:val="auto"/>
              </w:rPr>
              <w:t>OWNERSHIP PLAN</w:t>
            </w:r>
          </w:p>
        </w:tc>
        <w:tc>
          <w:tcPr>
            <w:tcW w:w="2440" w:type="dxa"/>
            <w:vAlign w:val="bottom"/>
          </w:tcPr>
          <w:p>
            <w:pPr>
              <w:spacing w:after="0"/>
              <w:rPr>
                <w:sz w:val="16"/>
                <w:szCs w:val="16"/>
                <w:color w:val="auto"/>
              </w:rPr>
            </w:pPr>
          </w:p>
        </w:tc>
        <w:tc>
          <w:tcPr>
            <w:tcW w:w="23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(221,047)</w:t>
            </w:r>
          </w:p>
        </w:tc>
        <w:tc>
          <w:tcPr>
            <w:tcW w:w="1180" w:type="dxa"/>
            <w:vAlign w:val="bottom"/>
          </w:tcPr>
          <w:p>
            <w:pPr>
              <w:spacing w:after="0"/>
              <w:rPr>
                <w:sz w:val="16"/>
                <w:szCs w:val="16"/>
                <w:color w:val="auto"/>
              </w:rPr>
            </w:pP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(221,047)</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RETAINED EARNINGS</w:t>
            </w:r>
          </w:p>
        </w:tc>
        <w:tc>
          <w:tcPr>
            <w:tcW w:w="2440" w:type="dxa"/>
            <w:vAlign w:val="bottom"/>
          </w:tcPr>
          <w:p>
            <w:pPr>
              <w:spacing w:after="0"/>
              <w:rPr>
                <w:sz w:val="16"/>
                <w:szCs w:val="16"/>
                <w:color w:val="auto"/>
              </w:rPr>
            </w:pP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927,032</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(22,529)</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904,503</w:t>
            </w:r>
          </w:p>
        </w:tc>
      </w:tr>
      <w:tr>
        <w:trPr>
          <w:trHeight w:val="188"/>
        </w:trPr>
        <w:tc>
          <w:tcPr>
            <w:tcW w:w="19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380" w:type="dxa"/>
            <w:vAlign w:val="bottom"/>
            <w:gridSpan w:val="3"/>
          </w:tcPr>
          <w:p>
            <w:pPr>
              <w:ind w:left="680"/>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TOTAL COMMON STOCKHOLDER'S EQUITY</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2,280,170</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(22,529)</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2,257,641</w:t>
            </w:r>
          </w:p>
        </w:tc>
      </w:tr>
      <w:tr>
        <w:trPr>
          <w:trHeight w:val="376"/>
        </w:trPr>
        <w:tc>
          <w:tcPr>
            <w:tcW w:w="44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PREFERRED STOCK NOT SUBJECT TO</w:t>
            </w:r>
          </w:p>
        </w:tc>
        <w:tc>
          <w:tcPr>
            <w:tcW w:w="2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44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MANDATORY REDEMPTION</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239,700</w:t>
            </w:r>
          </w:p>
        </w:tc>
        <w:tc>
          <w:tcPr>
            <w:tcW w:w="11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239,700</w:t>
            </w:r>
          </w:p>
        </w:tc>
      </w:tr>
      <w:tr>
        <w:trPr>
          <w:trHeight w:val="188"/>
        </w:trPr>
        <w:tc>
          <w:tcPr>
            <w:tcW w:w="44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PREFERRED STOCK SUBJECT TO MANDATORY</w:t>
            </w:r>
          </w:p>
        </w:tc>
        <w:tc>
          <w:tcPr>
            <w:tcW w:w="2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1960" w:type="dxa"/>
            <w:vAlign w:val="bottom"/>
          </w:tcPr>
          <w:p>
            <w:pPr>
              <w:ind w:left="580"/>
              <w:spacing w:after="0"/>
              <w:rPr>
                <w:sz w:val="20"/>
                <w:szCs w:val="20"/>
                <w:color w:val="auto"/>
              </w:rPr>
            </w:pPr>
            <w:r>
              <w:rPr>
                <w:rFonts w:ascii="Courier New" w:cs="Courier New" w:eastAsia="Courier New" w:hAnsi="Courier New"/>
                <w:sz w:val="16"/>
                <w:szCs w:val="16"/>
                <w:color w:val="auto"/>
              </w:rPr>
              <w:t>REDEMPTION</w:t>
            </w:r>
          </w:p>
        </w:tc>
        <w:tc>
          <w:tcPr>
            <w:tcW w:w="2440" w:type="dxa"/>
            <w:vAlign w:val="bottom"/>
          </w:tcPr>
          <w:p>
            <w:pPr>
              <w:spacing w:after="0"/>
              <w:rPr>
                <w:sz w:val="16"/>
                <w:szCs w:val="16"/>
                <w:color w:val="auto"/>
              </w:rPr>
            </w:pP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379,000</w:t>
            </w:r>
          </w:p>
        </w:tc>
        <w:tc>
          <w:tcPr>
            <w:tcW w:w="11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379,000</w:t>
            </w:r>
          </w:p>
        </w:tc>
      </w:tr>
      <w:tr>
        <w:trPr>
          <w:trHeight w:val="376"/>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LONG-TERM DEBT,</w:t>
            </w:r>
          </w:p>
        </w:tc>
        <w:tc>
          <w:tcPr>
            <w:tcW w:w="2440" w:type="dxa"/>
            <w:vAlign w:val="bottom"/>
          </w:tcPr>
          <w:p>
            <w:pPr>
              <w:jc w:val="right"/>
              <w:ind w:right="2079"/>
              <w:spacing w:after="0"/>
              <w:rPr>
                <w:sz w:val="20"/>
                <w:szCs w:val="20"/>
                <w:color w:val="auto"/>
              </w:rPr>
            </w:pPr>
            <w:r>
              <w:rPr>
                <w:rFonts w:ascii="Courier New" w:cs="Courier New" w:eastAsia="Courier New" w:hAnsi="Courier New"/>
                <w:sz w:val="16"/>
                <w:szCs w:val="16"/>
                <w:color w:val="auto"/>
                <w:w w:val="90"/>
              </w:rPr>
              <w:t>NET</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3,910,661</w:t>
            </w:r>
          </w:p>
        </w:tc>
        <w:tc>
          <w:tcPr>
            <w:tcW w:w="1180" w:type="dxa"/>
            <w:vAlign w:val="bottom"/>
          </w:tcPr>
          <w:p>
            <w:pPr>
              <w:spacing w:after="0"/>
              <w:rPr>
                <w:sz w:val="24"/>
                <w:szCs w:val="24"/>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3,910,661</w:t>
            </w:r>
          </w:p>
        </w:tc>
      </w:tr>
      <w:tr>
        <w:trPr>
          <w:trHeight w:val="188"/>
        </w:trPr>
        <w:tc>
          <w:tcPr>
            <w:tcW w:w="19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380" w:type="dxa"/>
            <w:vAlign w:val="bottom"/>
            <w:gridSpan w:val="3"/>
          </w:tcPr>
          <w:p>
            <w:pPr>
              <w:ind w:left="680"/>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TOTAL CAPITALIZATION</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6,809,531</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(22,529)</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6,787,002</w:t>
            </w:r>
          </w:p>
        </w:tc>
      </w:tr>
      <w:tr>
        <w:trPr>
          <w:trHeight w:val="376"/>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OBLIGATIONS UNDER CAPITAL LEASES</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179,224</w:t>
            </w:r>
          </w:p>
        </w:tc>
        <w:tc>
          <w:tcPr>
            <w:tcW w:w="1180" w:type="dxa"/>
            <w:vAlign w:val="bottom"/>
          </w:tcPr>
          <w:p>
            <w:pPr>
              <w:spacing w:after="0"/>
              <w:rPr>
                <w:sz w:val="24"/>
                <w:szCs w:val="24"/>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179,224</w:t>
            </w:r>
          </w:p>
        </w:tc>
      </w:tr>
      <w:tr>
        <w:trPr>
          <w:trHeight w:val="564"/>
        </w:trPr>
        <w:tc>
          <w:tcPr>
            <w:tcW w:w="19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44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NOTES PAYABLE TO BANKS</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233,000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484,500 (a)</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717,500</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COMMERCIAL PAPER</w:t>
            </w:r>
          </w:p>
        </w:tc>
        <w:tc>
          <w:tcPr>
            <w:tcW w:w="2440" w:type="dxa"/>
            <w:vAlign w:val="bottom"/>
          </w:tcPr>
          <w:p>
            <w:pPr>
              <w:spacing w:after="0"/>
              <w:rPr>
                <w:sz w:val="16"/>
                <w:szCs w:val="16"/>
                <w:color w:val="auto"/>
              </w:rPr>
            </w:pP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69,500</w:t>
            </w:r>
          </w:p>
        </w:tc>
        <w:tc>
          <w:tcPr>
            <w:tcW w:w="11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69,500</w:t>
            </w:r>
          </w:p>
        </w:tc>
      </w:tr>
      <w:tr>
        <w:trPr>
          <w:trHeight w:val="188"/>
        </w:trPr>
        <w:tc>
          <w:tcPr>
            <w:tcW w:w="44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LONG-TERM DEBT AND PREFERRED STOCK -</w:t>
            </w:r>
          </w:p>
        </w:tc>
        <w:tc>
          <w:tcPr>
            <w:tcW w:w="2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4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CURRENT PORTION</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284,027</w:t>
            </w:r>
          </w:p>
        </w:tc>
        <w:tc>
          <w:tcPr>
            <w:tcW w:w="11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284,027</w:t>
            </w:r>
          </w:p>
        </w:tc>
      </w:tr>
      <w:tr>
        <w:trPr>
          <w:trHeight w:val="188"/>
        </w:trPr>
        <w:tc>
          <w:tcPr>
            <w:tcW w:w="44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OBLIGATIONS UNDER CAPITAL LEASES -</w:t>
            </w:r>
          </w:p>
        </w:tc>
        <w:tc>
          <w:tcPr>
            <w:tcW w:w="2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1960" w:type="dxa"/>
            <w:vAlign w:val="bottom"/>
          </w:tcPr>
          <w:p>
            <w:pPr>
              <w:ind w:left="480"/>
              <w:spacing w:after="0"/>
              <w:rPr>
                <w:sz w:val="20"/>
                <w:szCs w:val="20"/>
                <w:color w:val="auto"/>
              </w:rPr>
            </w:pPr>
            <w:r>
              <w:rPr>
                <w:rFonts w:ascii="Courier New" w:cs="Courier New" w:eastAsia="Courier New" w:hAnsi="Courier New"/>
                <w:sz w:val="16"/>
                <w:szCs w:val="16"/>
                <w:color w:val="auto"/>
              </w:rPr>
              <w:t>CURRENT PORTION</w:t>
            </w:r>
          </w:p>
        </w:tc>
        <w:tc>
          <w:tcPr>
            <w:tcW w:w="2440" w:type="dxa"/>
            <w:vAlign w:val="bottom"/>
          </w:tcPr>
          <w:p>
            <w:pPr>
              <w:spacing w:after="0"/>
              <w:rPr>
                <w:sz w:val="16"/>
                <w:szCs w:val="16"/>
                <w:color w:val="auto"/>
              </w:rPr>
            </w:pP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72,388</w:t>
            </w:r>
          </w:p>
        </w:tc>
        <w:tc>
          <w:tcPr>
            <w:tcW w:w="11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72,388</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ACCOUNTS PAYABLE</w:t>
            </w:r>
          </w:p>
        </w:tc>
        <w:tc>
          <w:tcPr>
            <w:tcW w:w="2440" w:type="dxa"/>
            <w:vAlign w:val="bottom"/>
          </w:tcPr>
          <w:p>
            <w:pPr>
              <w:spacing w:after="0"/>
              <w:rPr>
                <w:sz w:val="16"/>
                <w:szCs w:val="16"/>
                <w:color w:val="auto"/>
              </w:rPr>
            </w:pP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205,445</w:t>
            </w:r>
          </w:p>
        </w:tc>
        <w:tc>
          <w:tcPr>
            <w:tcW w:w="11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205,445</w:t>
            </w:r>
          </w:p>
        </w:tc>
      </w:tr>
      <w:tr>
        <w:trPr>
          <w:trHeight w:val="188"/>
        </w:trPr>
        <w:tc>
          <w:tcPr>
            <w:tcW w:w="44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ACCOUNTS PAYABLE TO AFFILIATED</w:t>
            </w:r>
          </w:p>
        </w:tc>
        <w:tc>
          <w:tcPr>
            <w:tcW w:w="2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1960" w:type="dxa"/>
            <w:vAlign w:val="bottom"/>
          </w:tcPr>
          <w:p>
            <w:pPr>
              <w:ind w:left="480"/>
              <w:spacing w:after="0"/>
              <w:rPr>
                <w:sz w:val="20"/>
                <w:szCs w:val="20"/>
                <w:color w:val="auto"/>
              </w:rPr>
            </w:pPr>
            <w:r>
              <w:rPr>
                <w:rFonts w:ascii="Courier New" w:cs="Courier New" w:eastAsia="Courier New" w:hAnsi="Courier New"/>
                <w:sz w:val="16"/>
                <w:szCs w:val="16"/>
                <w:color w:val="auto"/>
              </w:rPr>
              <w:t>COMPANIES</w:t>
            </w:r>
          </w:p>
        </w:tc>
        <w:tc>
          <w:tcPr>
            <w:tcW w:w="2440" w:type="dxa"/>
            <w:vAlign w:val="bottom"/>
          </w:tcPr>
          <w:p>
            <w:pPr>
              <w:spacing w:after="0"/>
              <w:rPr>
                <w:sz w:val="16"/>
                <w:szCs w:val="16"/>
                <w:color w:val="auto"/>
              </w:rPr>
            </w:pP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w:t>
            </w:r>
          </w:p>
        </w:tc>
        <w:tc>
          <w:tcPr>
            <w:tcW w:w="11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0</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ACCRUED TAXES</w:t>
            </w:r>
          </w:p>
        </w:tc>
        <w:tc>
          <w:tcPr>
            <w:tcW w:w="2440" w:type="dxa"/>
            <w:vAlign w:val="bottom"/>
          </w:tcPr>
          <w:p>
            <w:pPr>
              <w:spacing w:after="0"/>
              <w:rPr>
                <w:sz w:val="16"/>
                <w:szCs w:val="16"/>
                <w:color w:val="auto"/>
              </w:rPr>
            </w:pP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57,696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(15,020)(c)</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42,676</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ACCRUED INTEREST</w:t>
            </w:r>
          </w:p>
        </w:tc>
        <w:tc>
          <w:tcPr>
            <w:tcW w:w="2440" w:type="dxa"/>
            <w:vAlign w:val="bottom"/>
          </w:tcPr>
          <w:p>
            <w:pPr>
              <w:spacing w:after="0"/>
              <w:rPr>
                <w:sz w:val="16"/>
                <w:szCs w:val="16"/>
                <w:color w:val="auto"/>
              </w:rPr>
            </w:pP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68,435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37,549 (b)</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105,984</w:t>
            </w:r>
          </w:p>
        </w:tc>
      </w:tr>
      <w:tr>
        <w:trPr>
          <w:trHeight w:val="188"/>
        </w:trPr>
        <w:tc>
          <w:tcPr>
            <w:tcW w:w="44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ACCRUED PENSION BENEFITS</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83,586</w:t>
            </w:r>
          </w:p>
        </w:tc>
        <w:tc>
          <w:tcPr>
            <w:tcW w:w="11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83,586</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OTHER</w:t>
            </w:r>
          </w:p>
        </w:tc>
        <w:tc>
          <w:tcPr>
            <w:tcW w:w="2440" w:type="dxa"/>
            <w:vAlign w:val="bottom"/>
          </w:tcPr>
          <w:p>
            <w:pPr>
              <w:spacing w:after="0"/>
              <w:rPr>
                <w:sz w:val="16"/>
                <w:szCs w:val="16"/>
                <w:color w:val="auto"/>
              </w:rPr>
            </w:pP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80,458</w:t>
            </w:r>
          </w:p>
        </w:tc>
        <w:tc>
          <w:tcPr>
            <w:tcW w:w="11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80,458</w:t>
            </w:r>
          </w:p>
        </w:tc>
      </w:tr>
      <w:tr>
        <w:trPr>
          <w:trHeight w:val="188"/>
        </w:trPr>
        <w:tc>
          <w:tcPr>
            <w:tcW w:w="19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52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TOTAL CURRENT LIABILITIES</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1,154,535</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507,029</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1,661,564</w:t>
            </w:r>
          </w:p>
        </w:tc>
      </w:tr>
      <w:tr>
        <w:trPr>
          <w:trHeight w:val="564"/>
        </w:trPr>
        <w:tc>
          <w:tcPr>
            <w:tcW w:w="1960" w:type="dxa"/>
            <w:vAlign w:val="bottom"/>
          </w:tcPr>
          <w:p>
            <w:pPr>
              <w:spacing w:after="0"/>
              <w:rPr>
                <w:sz w:val="20"/>
                <w:szCs w:val="20"/>
                <w:color w:val="auto"/>
              </w:rPr>
            </w:pPr>
            <w:r>
              <w:rPr>
                <w:rFonts w:ascii="Courier New" w:cs="Courier New" w:eastAsia="Courier New" w:hAnsi="Courier New"/>
                <w:sz w:val="16"/>
                <w:szCs w:val="16"/>
                <w:color w:val="auto"/>
              </w:rPr>
              <w:t>DEFERRED CREDITS:</w:t>
            </w:r>
          </w:p>
        </w:tc>
        <w:tc>
          <w:tcPr>
            <w:tcW w:w="2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44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ACCUMULATED DEFERRED INCOME TAXES</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1,939,156</w:t>
            </w:r>
          </w:p>
        </w:tc>
        <w:tc>
          <w:tcPr>
            <w:tcW w:w="11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1,939,156</w:t>
            </w:r>
          </w:p>
        </w:tc>
      </w:tr>
      <w:tr>
        <w:trPr>
          <w:trHeight w:val="188"/>
        </w:trPr>
        <w:tc>
          <w:tcPr>
            <w:tcW w:w="44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ACCUMULATED DEFERRED INVESTMENT</w:t>
            </w:r>
          </w:p>
        </w:tc>
        <w:tc>
          <w:tcPr>
            <w:tcW w:w="2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1960" w:type="dxa"/>
            <w:vAlign w:val="bottom"/>
          </w:tcPr>
          <w:p>
            <w:pPr>
              <w:ind w:left="580"/>
              <w:spacing w:after="0"/>
              <w:rPr>
                <w:sz w:val="20"/>
                <w:szCs w:val="20"/>
                <w:color w:val="auto"/>
              </w:rPr>
            </w:pPr>
            <w:r>
              <w:rPr>
                <w:rFonts w:ascii="Courier New" w:cs="Courier New" w:eastAsia="Courier New" w:hAnsi="Courier New"/>
                <w:sz w:val="16"/>
                <w:szCs w:val="16"/>
                <w:color w:val="auto"/>
              </w:rPr>
              <w:t>TAX CREDITS</w:t>
            </w:r>
          </w:p>
        </w:tc>
        <w:tc>
          <w:tcPr>
            <w:tcW w:w="2440" w:type="dxa"/>
            <w:vAlign w:val="bottom"/>
          </w:tcPr>
          <w:p>
            <w:pPr>
              <w:spacing w:after="0"/>
              <w:rPr>
                <w:sz w:val="16"/>
                <w:szCs w:val="16"/>
                <w:color w:val="auto"/>
              </w:rPr>
            </w:pP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196,967</w:t>
            </w:r>
          </w:p>
        </w:tc>
        <w:tc>
          <w:tcPr>
            <w:tcW w:w="11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196,967</w:t>
            </w:r>
          </w:p>
        </w:tc>
      </w:tr>
      <w:tr>
        <w:trPr>
          <w:trHeight w:val="188"/>
        </w:trPr>
        <w:tc>
          <w:tcPr>
            <w:tcW w:w="44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DEFERRED CONTRACT OBLIGATION-YAEC</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119,882</w:t>
            </w:r>
          </w:p>
        </w:tc>
        <w:tc>
          <w:tcPr>
            <w:tcW w:w="11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119,882</w:t>
            </w:r>
          </w:p>
        </w:tc>
      </w:tr>
      <w:tr>
        <w:trPr>
          <w:trHeight w:val="188"/>
        </w:trPr>
        <w:tc>
          <w:tcPr>
            <w:tcW w:w="44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DEFERRED DOE OBLIGATION</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39,530</w:t>
            </w:r>
          </w:p>
        </w:tc>
        <w:tc>
          <w:tcPr>
            <w:tcW w:w="11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39,530</w:t>
            </w:r>
          </w:p>
        </w:tc>
      </w:tr>
      <w:tr>
        <w:trPr>
          <w:trHeight w:val="188"/>
        </w:trPr>
        <w:tc>
          <w:tcPr>
            <w:tcW w:w="1960" w:type="dxa"/>
            <w:vAlign w:val="bottom"/>
          </w:tcPr>
          <w:p>
            <w:pPr>
              <w:ind w:left="300"/>
              <w:spacing w:after="0"/>
              <w:rPr>
                <w:sz w:val="20"/>
                <w:szCs w:val="20"/>
                <w:color w:val="auto"/>
              </w:rPr>
            </w:pPr>
            <w:r>
              <w:rPr>
                <w:rFonts w:ascii="Courier New" w:cs="Courier New" w:eastAsia="Courier New" w:hAnsi="Courier New"/>
                <w:sz w:val="16"/>
                <w:szCs w:val="16"/>
                <w:color w:val="auto"/>
              </w:rPr>
              <w:t>OTHER</w:t>
            </w:r>
          </w:p>
        </w:tc>
        <w:tc>
          <w:tcPr>
            <w:tcW w:w="2440" w:type="dxa"/>
            <w:vAlign w:val="bottom"/>
          </w:tcPr>
          <w:p>
            <w:pPr>
              <w:spacing w:after="0"/>
              <w:rPr>
                <w:sz w:val="16"/>
                <w:szCs w:val="16"/>
                <w:color w:val="auto"/>
              </w:rPr>
            </w:pP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138,891</w:t>
            </w:r>
          </w:p>
        </w:tc>
        <w:tc>
          <w:tcPr>
            <w:tcW w:w="11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138,891</w:t>
            </w:r>
          </w:p>
        </w:tc>
      </w:tr>
      <w:tr>
        <w:trPr>
          <w:trHeight w:val="188"/>
        </w:trPr>
        <w:tc>
          <w:tcPr>
            <w:tcW w:w="19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380" w:type="dxa"/>
            <w:vAlign w:val="bottom"/>
            <w:gridSpan w:val="3"/>
          </w:tcPr>
          <w:p>
            <w:pPr>
              <w:ind w:left="680"/>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TOTAL DEFERRED CREDITS</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2,434,426</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2,434,426</w:t>
            </w:r>
          </w:p>
        </w:tc>
      </w:tr>
      <w:tr>
        <w:trPr>
          <w:trHeight w:val="188"/>
        </w:trPr>
        <w:tc>
          <w:tcPr>
            <w:tcW w:w="19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380" w:type="dxa"/>
            <w:vAlign w:val="bottom"/>
            <w:gridSpan w:val="3"/>
          </w:tcPr>
          <w:p>
            <w:pPr>
              <w:ind w:left="680"/>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TOTAL CAPITALIZATION AND</w:t>
            </w:r>
          </w:p>
        </w:tc>
        <w:tc>
          <w:tcPr>
            <w:tcW w:w="2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400" w:type="dxa"/>
            <w:vAlign w:val="bottom"/>
            <w:gridSpan w:val="2"/>
          </w:tcPr>
          <w:p>
            <w:pPr>
              <w:jc w:val="right"/>
              <w:ind w:right="2079"/>
              <w:spacing w:after="0"/>
              <w:rPr>
                <w:sz w:val="20"/>
                <w:szCs w:val="20"/>
                <w:color w:val="auto"/>
              </w:rPr>
            </w:pPr>
            <w:r>
              <w:rPr>
                <w:rFonts w:ascii="Courier New" w:cs="Courier New" w:eastAsia="Courier New" w:hAnsi="Courier New"/>
                <w:sz w:val="16"/>
                <w:szCs w:val="16"/>
                <w:color w:val="auto"/>
              </w:rPr>
              <w:t>LIABILITIES</w:t>
            </w:r>
          </w:p>
        </w:tc>
        <w:tc>
          <w:tcPr>
            <w:tcW w:w="2340" w:type="dxa"/>
            <w:vAlign w:val="bottom"/>
          </w:tcPr>
          <w:p>
            <w:pPr>
              <w:ind w:left="680"/>
              <w:spacing w:after="0"/>
              <w:rPr>
                <w:sz w:val="20"/>
                <w:szCs w:val="20"/>
                <w:color w:val="auto"/>
              </w:rPr>
            </w:pPr>
            <w:r>
              <w:rPr>
                <w:rFonts w:ascii="Courier New" w:cs="Courier New" w:eastAsia="Courier New" w:hAnsi="Courier New"/>
                <w:sz w:val="16"/>
                <w:szCs w:val="16"/>
                <w:color w:val="auto"/>
              </w:rPr>
              <w:t>$10,577,716</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$484,500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$11,062,216</w:t>
            </w:r>
          </w:p>
        </w:tc>
      </w:tr>
      <w:tr>
        <w:trPr>
          <w:trHeight w:val="752"/>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  EXPLANATION AT FINANCIAL STATEMENT 11.2.1</w:t>
            </w:r>
          </w:p>
        </w:tc>
        <w:tc>
          <w:tcPr>
            <w:tcW w:w="23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PAGE 3 OF 3</w:t>
            </w:r>
          </w:p>
        </w:tc>
        <w:tc>
          <w:tcPr>
            <w:tcW w:w="118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33" w:name="page34"/>
    <w:bookmarkEnd w:id="33"/>
    <w:p>
      <w:pPr>
        <w:spacing w:after="0" w:line="1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NORTHEAST UTILITIES AND SUBSIDIARIES</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CONSOLIDATED INCOME STATEMENT</w:t>
      </w:r>
    </w:p>
    <w:p>
      <w:pPr>
        <w:spacing w:after="0" w:line="7"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6"/>
          <w:szCs w:val="16"/>
          <w:color w:val="auto"/>
        </w:rPr>
        <w:t>FOR 12 MONTHS ENDED JUNE 30, 1994</w:t>
      </w:r>
    </w:p>
    <w:p>
      <w:pPr>
        <w:spacing w:after="0" w:line="7" w:lineRule="exact"/>
        <w:rPr>
          <w:sz w:val="20"/>
          <w:szCs w:val="20"/>
          <w:color w:val="auto"/>
        </w:rPr>
      </w:pPr>
    </w:p>
    <w:p>
      <w:pPr>
        <w:jc w:val="center"/>
        <w:ind w:right="-720"/>
        <w:spacing w:after="0"/>
        <w:rPr>
          <w:sz w:val="20"/>
          <w:szCs w:val="20"/>
          <w:color w:val="auto"/>
        </w:rPr>
      </w:pPr>
      <w:r>
        <w:rPr>
          <w:rFonts w:ascii="Courier New" w:cs="Courier New" w:eastAsia="Courier New" w:hAnsi="Courier New"/>
          <w:sz w:val="16"/>
          <w:szCs w:val="16"/>
          <w:color w:val="auto"/>
        </w:rPr>
        <w:t>(THOUSANDS OF DOLLARS)</w:t>
      </w:r>
    </w:p>
    <w:p>
      <w:pPr>
        <w:spacing w:after="0" w:line="7" w:lineRule="exact"/>
        <w:rPr>
          <w:sz w:val="20"/>
          <w:szCs w:val="20"/>
          <w:color w:val="auto"/>
        </w:rPr>
      </w:pPr>
    </w:p>
    <w:p>
      <w:pPr>
        <w:jc w:val="center"/>
        <w:ind w:right="-720"/>
        <w:spacing w:after="0"/>
        <w:rPr>
          <w:sz w:val="20"/>
          <w:szCs w:val="20"/>
          <w:color w:val="auto"/>
        </w:rPr>
      </w:pPr>
      <w:r>
        <w:rPr>
          <w:rFonts w:ascii="Courier New" w:cs="Courier New" w:eastAsia="Courier New" w:hAnsi="Courier New"/>
          <w:sz w:val="16"/>
          <w:szCs w:val="16"/>
          <w:color w:val="auto"/>
        </w:rPr>
        <w:t>FINANCIAL STATEMENT 11.2.1 PAGE 1 OF 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PRO FORMA</w:t>
            </w:r>
          </w:p>
        </w:tc>
      </w:tr>
      <w:tr>
        <w:trPr>
          <w:trHeight w:val="188"/>
        </w:trPr>
        <w:tc>
          <w:tcPr>
            <w:tcW w:w="4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jc w:val="center"/>
              <w:ind w:right="519"/>
              <w:spacing w:after="0"/>
              <w:rPr>
                <w:sz w:val="20"/>
                <w:szCs w:val="20"/>
                <w:color w:val="auto"/>
              </w:rPr>
            </w:pPr>
            <w:r>
              <w:rPr>
                <w:rFonts w:ascii="Courier New" w:cs="Courier New" w:eastAsia="Courier New" w:hAnsi="Courier New"/>
                <w:sz w:val="16"/>
                <w:szCs w:val="16"/>
                <w:color w:val="auto"/>
              </w:rPr>
              <w:t>GIVING EFFECT</w:t>
            </w:r>
          </w:p>
        </w:tc>
      </w:tr>
      <w:tr>
        <w:trPr>
          <w:trHeight w:val="188"/>
        </w:trPr>
        <w:tc>
          <w:tcPr>
            <w:tcW w:w="4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PRO FORMA</w:t>
            </w:r>
          </w:p>
        </w:tc>
        <w:tc>
          <w:tcPr>
            <w:tcW w:w="1860" w:type="dxa"/>
            <w:vAlign w:val="bottom"/>
          </w:tcPr>
          <w:p>
            <w:pPr>
              <w:jc w:val="center"/>
              <w:ind w:right="519"/>
              <w:spacing w:after="0"/>
              <w:rPr>
                <w:sz w:val="20"/>
                <w:szCs w:val="20"/>
                <w:color w:val="auto"/>
              </w:rPr>
            </w:pPr>
            <w:r>
              <w:rPr>
                <w:rFonts w:ascii="Courier New" w:cs="Courier New" w:eastAsia="Courier New" w:hAnsi="Courier New"/>
                <w:sz w:val="16"/>
                <w:szCs w:val="16"/>
                <w:color w:val="auto"/>
              </w:rPr>
              <w:t>TO PROPOSED</w:t>
            </w:r>
          </w:p>
        </w:tc>
      </w:tr>
      <w:tr>
        <w:trPr>
          <w:trHeight w:val="188"/>
        </w:trPr>
        <w:tc>
          <w:tcPr>
            <w:tcW w:w="4540" w:type="dxa"/>
            <w:vAlign w:val="bottom"/>
          </w:tcPr>
          <w:p>
            <w:pPr>
              <w:spacing w:after="0"/>
              <w:rPr>
                <w:sz w:val="16"/>
                <w:szCs w:val="16"/>
                <w:color w:val="auto"/>
              </w:rPr>
            </w:pPr>
          </w:p>
        </w:tc>
        <w:tc>
          <w:tcPr>
            <w:tcW w:w="1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PER BOOK</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ADJUSTMENTS*</w:t>
            </w:r>
          </w:p>
        </w:tc>
        <w:tc>
          <w:tcPr>
            <w:tcW w:w="1860" w:type="dxa"/>
            <w:vAlign w:val="bottom"/>
          </w:tcPr>
          <w:p>
            <w:pPr>
              <w:jc w:val="center"/>
              <w:ind w:right="519"/>
              <w:spacing w:after="0"/>
              <w:rPr>
                <w:sz w:val="20"/>
                <w:szCs w:val="20"/>
                <w:color w:val="auto"/>
              </w:rPr>
            </w:pPr>
            <w:r>
              <w:rPr>
                <w:rFonts w:ascii="Courier New" w:cs="Courier New" w:eastAsia="Courier New" w:hAnsi="Courier New"/>
                <w:sz w:val="16"/>
                <w:szCs w:val="16"/>
                <w:color w:val="auto"/>
              </w:rPr>
              <w:t>TRANSACTION</w:t>
            </w:r>
          </w:p>
        </w:tc>
      </w:tr>
      <w:tr>
        <w:trPr>
          <w:trHeight w:val="564"/>
        </w:trPr>
        <w:tc>
          <w:tcPr>
            <w:tcW w:w="4540" w:type="dxa"/>
            <w:vAlign w:val="bottom"/>
          </w:tcPr>
          <w:p>
            <w:pPr>
              <w:spacing w:after="0"/>
              <w:rPr>
                <w:sz w:val="20"/>
                <w:szCs w:val="20"/>
                <w:color w:val="auto"/>
              </w:rPr>
            </w:pPr>
            <w:r>
              <w:rPr>
                <w:rFonts w:ascii="Courier New" w:cs="Courier New" w:eastAsia="Courier New" w:hAnsi="Courier New"/>
                <w:sz w:val="16"/>
                <w:szCs w:val="16"/>
                <w:color w:val="auto"/>
              </w:rPr>
              <w:t>OPERATING REVENUE</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$3,637,933</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$3,637,933</w:t>
            </w:r>
          </w:p>
        </w:tc>
      </w:tr>
      <w:tr>
        <w:trPr>
          <w:trHeight w:val="188"/>
        </w:trPr>
        <w:tc>
          <w:tcPr>
            <w:tcW w:w="4540" w:type="dxa"/>
            <w:vAlign w:val="bottom"/>
          </w:tcPr>
          <w:p>
            <w:pPr>
              <w:spacing w:after="0"/>
              <w:rPr>
                <w:sz w:val="16"/>
                <w:szCs w:val="16"/>
                <w:color w:val="auto"/>
              </w:rPr>
            </w:pPr>
          </w:p>
        </w:tc>
        <w:tc>
          <w:tcPr>
            <w:tcW w:w="52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376"/>
        </w:trPr>
        <w:tc>
          <w:tcPr>
            <w:tcW w:w="45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OPERATION -</w:t>
            </w:r>
          </w:p>
        </w:tc>
        <w:tc>
          <w:tcPr>
            <w:tcW w:w="17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540" w:type="dxa"/>
            <w:vAlign w:val="bottom"/>
          </w:tcPr>
          <w:p>
            <w:pPr>
              <w:ind w:left="580"/>
              <w:spacing w:after="0"/>
              <w:rPr>
                <w:sz w:val="20"/>
                <w:szCs w:val="20"/>
                <w:color w:val="auto"/>
              </w:rPr>
            </w:pPr>
            <w:r>
              <w:rPr>
                <w:rFonts w:ascii="Courier New" w:cs="Courier New" w:eastAsia="Courier New" w:hAnsi="Courier New"/>
                <w:sz w:val="16"/>
                <w:szCs w:val="16"/>
                <w:color w:val="auto"/>
              </w:rPr>
              <w:t>FUEL PURCHASED AND INTERCHANGE</w:t>
            </w:r>
          </w:p>
        </w:tc>
        <w:tc>
          <w:tcPr>
            <w:tcW w:w="17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540" w:type="dxa"/>
            <w:vAlign w:val="bottom"/>
          </w:tcPr>
          <w:p>
            <w:pPr>
              <w:ind w:left="880"/>
              <w:spacing w:after="0"/>
              <w:rPr>
                <w:sz w:val="20"/>
                <w:szCs w:val="20"/>
                <w:color w:val="auto"/>
              </w:rPr>
            </w:pPr>
            <w:r>
              <w:rPr>
                <w:rFonts w:ascii="Courier New" w:cs="Courier New" w:eastAsia="Courier New" w:hAnsi="Courier New"/>
                <w:sz w:val="16"/>
                <w:szCs w:val="16"/>
                <w:color w:val="auto"/>
              </w:rPr>
              <w:t>POWER</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827,682</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827,682</w:t>
            </w:r>
          </w:p>
        </w:tc>
      </w:tr>
      <w:tr>
        <w:trPr>
          <w:trHeight w:val="188"/>
        </w:trPr>
        <w:tc>
          <w:tcPr>
            <w:tcW w:w="4540" w:type="dxa"/>
            <w:vAlign w:val="bottom"/>
          </w:tcPr>
          <w:p>
            <w:pPr>
              <w:ind w:left="580"/>
              <w:spacing w:after="0"/>
              <w:rPr>
                <w:sz w:val="20"/>
                <w:szCs w:val="20"/>
                <w:color w:val="auto"/>
              </w:rPr>
            </w:pPr>
            <w:r>
              <w:rPr>
                <w:rFonts w:ascii="Courier New" w:cs="Courier New" w:eastAsia="Courier New" w:hAnsi="Courier New"/>
                <w:sz w:val="16"/>
                <w:szCs w:val="16"/>
                <w:color w:val="auto"/>
              </w:rPr>
              <w:t>OTHER</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959,082</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959,082</w:t>
            </w: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MAINTENANCE</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282,628</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282,628</w:t>
            </w: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DEPRECIATION</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324,509</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324,509</w:t>
            </w: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AMORTIZATION/DEFERRALS OF REGULATORY</w:t>
            </w:r>
          </w:p>
        </w:tc>
        <w:tc>
          <w:tcPr>
            <w:tcW w:w="17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540" w:type="dxa"/>
            <w:vAlign w:val="bottom"/>
          </w:tcPr>
          <w:p>
            <w:pPr>
              <w:ind w:left="680"/>
              <w:spacing w:after="0"/>
              <w:rPr>
                <w:sz w:val="20"/>
                <w:szCs w:val="20"/>
                <w:color w:val="auto"/>
              </w:rPr>
            </w:pPr>
            <w:r>
              <w:rPr>
                <w:rFonts w:ascii="Courier New" w:cs="Courier New" w:eastAsia="Courier New" w:hAnsi="Courier New"/>
                <w:sz w:val="16"/>
                <w:szCs w:val="16"/>
                <w:color w:val="auto"/>
              </w:rPr>
              <w:t>ASSETS, NET</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196,437</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196,437</w:t>
            </w: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FEDERAL AND STATE INCOME TAXES</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286,791</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(15,020)(c)</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271,771</w:t>
            </w: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TAXES OTHER THAN INCOME TAXES</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240,594</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240,594</w:t>
            </w:r>
          </w:p>
        </w:tc>
      </w:tr>
      <w:tr>
        <w:trPr>
          <w:trHeight w:val="188"/>
        </w:trPr>
        <w:tc>
          <w:tcPr>
            <w:tcW w:w="4540" w:type="dxa"/>
            <w:vAlign w:val="bottom"/>
          </w:tcPr>
          <w:p>
            <w:pPr>
              <w:spacing w:after="0"/>
              <w:rPr>
                <w:sz w:val="16"/>
                <w:szCs w:val="16"/>
                <w:color w:val="auto"/>
              </w:rPr>
            </w:pPr>
          </w:p>
        </w:tc>
        <w:tc>
          <w:tcPr>
            <w:tcW w:w="52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188"/>
        </w:trPr>
        <w:tc>
          <w:tcPr>
            <w:tcW w:w="4540" w:type="dxa"/>
            <w:vAlign w:val="bottom"/>
          </w:tcPr>
          <w:p>
            <w:pPr>
              <w:ind w:left="580"/>
              <w:spacing w:after="0"/>
              <w:rPr>
                <w:sz w:val="20"/>
                <w:szCs w:val="20"/>
                <w:color w:val="auto"/>
              </w:rPr>
            </w:pPr>
            <w:r>
              <w:rPr>
                <w:rFonts w:ascii="Courier New" w:cs="Courier New" w:eastAsia="Courier New" w:hAnsi="Courier New"/>
                <w:sz w:val="16"/>
                <w:szCs w:val="16"/>
                <w:color w:val="auto"/>
              </w:rPr>
              <w:t>TOTAL OPERATING EXPENSES</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3,117,723</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(15,020)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3,102,703</w:t>
            </w:r>
          </w:p>
        </w:tc>
      </w:tr>
      <w:tr>
        <w:trPr>
          <w:trHeight w:val="188"/>
        </w:trPr>
        <w:tc>
          <w:tcPr>
            <w:tcW w:w="4540" w:type="dxa"/>
            <w:vAlign w:val="bottom"/>
          </w:tcPr>
          <w:p>
            <w:pPr>
              <w:spacing w:after="0"/>
              <w:rPr>
                <w:sz w:val="16"/>
                <w:szCs w:val="16"/>
                <w:color w:val="auto"/>
              </w:rPr>
            </w:pPr>
          </w:p>
        </w:tc>
        <w:tc>
          <w:tcPr>
            <w:tcW w:w="52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520,210</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15,020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535,230</w:t>
            </w:r>
          </w:p>
        </w:tc>
      </w:tr>
      <w:tr>
        <w:trPr>
          <w:trHeight w:val="188"/>
        </w:trPr>
        <w:tc>
          <w:tcPr>
            <w:tcW w:w="4540" w:type="dxa"/>
            <w:vAlign w:val="bottom"/>
          </w:tcPr>
          <w:p>
            <w:pPr>
              <w:spacing w:after="0"/>
              <w:rPr>
                <w:sz w:val="16"/>
                <w:szCs w:val="16"/>
                <w:color w:val="auto"/>
              </w:rPr>
            </w:pPr>
          </w:p>
        </w:tc>
        <w:tc>
          <w:tcPr>
            <w:tcW w:w="52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7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ALLOWANCE FOR OTHER FUNDS USED</w:t>
            </w:r>
          </w:p>
        </w:tc>
        <w:tc>
          <w:tcPr>
            <w:tcW w:w="17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540" w:type="dxa"/>
            <w:vAlign w:val="bottom"/>
          </w:tcPr>
          <w:p>
            <w:pPr>
              <w:ind w:left="580"/>
              <w:spacing w:after="0"/>
              <w:rPr>
                <w:sz w:val="20"/>
                <w:szCs w:val="20"/>
                <w:color w:val="auto"/>
              </w:rPr>
            </w:pPr>
            <w:r>
              <w:rPr>
                <w:rFonts w:ascii="Courier New" w:cs="Courier New" w:eastAsia="Courier New" w:hAnsi="Courier New"/>
                <w:sz w:val="16"/>
                <w:szCs w:val="16"/>
                <w:color w:val="auto"/>
              </w:rPr>
              <w:t>DURING CONSTRUCTION</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938</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938</w:t>
            </w: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DEFERRED NUCLEAR PLANTS RETURN-OTHER</w:t>
            </w:r>
          </w:p>
        </w:tc>
        <w:tc>
          <w:tcPr>
            <w:tcW w:w="17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540" w:type="dxa"/>
            <w:vAlign w:val="bottom"/>
          </w:tcPr>
          <w:p>
            <w:pPr>
              <w:ind w:left="580"/>
              <w:spacing w:after="0"/>
              <w:rPr>
                <w:sz w:val="20"/>
                <w:szCs w:val="20"/>
                <w:color w:val="auto"/>
              </w:rPr>
            </w:pPr>
            <w:r>
              <w:rPr>
                <w:rFonts w:ascii="Courier New" w:cs="Courier New" w:eastAsia="Courier New" w:hAnsi="Courier New"/>
                <w:sz w:val="16"/>
                <w:szCs w:val="16"/>
                <w:color w:val="auto"/>
              </w:rPr>
              <w:t>FUNDS</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31,489</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31,489</w:t>
            </w: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EQUITY IN EARNINGS OF REGIONAL NUCLEAR</w:t>
            </w:r>
          </w:p>
        </w:tc>
        <w:tc>
          <w:tcPr>
            <w:tcW w:w="17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540" w:type="dxa"/>
            <w:vAlign w:val="bottom"/>
          </w:tcPr>
          <w:p>
            <w:pPr>
              <w:ind w:left="580"/>
              <w:spacing w:after="0"/>
              <w:rPr>
                <w:sz w:val="20"/>
                <w:szCs w:val="20"/>
                <w:color w:val="auto"/>
              </w:rPr>
            </w:pPr>
            <w:r>
              <w:rPr>
                <w:rFonts w:ascii="Courier New" w:cs="Courier New" w:eastAsia="Courier New" w:hAnsi="Courier New"/>
                <w:sz w:val="16"/>
                <w:szCs w:val="16"/>
                <w:color w:val="auto"/>
              </w:rPr>
              <w:t>GENERATING COMPANIES</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14,005</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14,005</w:t>
            </w: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WRITE OFF OF PLANT COSTS</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0</w:t>
            </w: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OTHER, NET</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17,879</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17,879</w:t>
            </w: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INCOME TAXES - CREDIT</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19,750</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19,750</w:t>
            </w:r>
          </w:p>
        </w:tc>
      </w:tr>
      <w:tr>
        <w:trPr>
          <w:trHeight w:val="188"/>
        </w:trPr>
        <w:tc>
          <w:tcPr>
            <w:tcW w:w="4540" w:type="dxa"/>
            <w:vAlign w:val="bottom"/>
          </w:tcPr>
          <w:p>
            <w:pPr>
              <w:spacing w:after="0"/>
              <w:rPr>
                <w:sz w:val="16"/>
                <w:szCs w:val="16"/>
                <w:color w:val="auto"/>
              </w:rPr>
            </w:pPr>
          </w:p>
        </w:tc>
        <w:tc>
          <w:tcPr>
            <w:tcW w:w="52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188"/>
        </w:trPr>
        <w:tc>
          <w:tcPr>
            <w:tcW w:w="4540" w:type="dxa"/>
            <w:vAlign w:val="bottom"/>
          </w:tcPr>
          <w:p>
            <w:pPr>
              <w:ind w:left="580"/>
              <w:spacing w:after="0"/>
              <w:rPr>
                <w:sz w:val="20"/>
                <w:szCs w:val="20"/>
                <w:color w:val="auto"/>
              </w:rPr>
            </w:pPr>
            <w:r>
              <w:rPr>
                <w:rFonts w:ascii="Courier New" w:cs="Courier New" w:eastAsia="Courier New" w:hAnsi="Courier New"/>
                <w:sz w:val="16"/>
                <w:szCs w:val="16"/>
                <w:color w:val="auto"/>
              </w:rPr>
              <w:t>OTHER INCOME, NET</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84,061</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84,061</w:t>
            </w:r>
          </w:p>
        </w:tc>
      </w:tr>
      <w:tr>
        <w:trPr>
          <w:trHeight w:val="188"/>
        </w:trPr>
        <w:tc>
          <w:tcPr>
            <w:tcW w:w="4540" w:type="dxa"/>
            <w:vAlign w:val="bottom"/>
          </w:tcPr>
          <w:p>
            <w:pPr>
              <w:spacing w:after="0"/>
              <w:rPr>
                <w:sz w:val="16"/>
                <w:szCs w:val="16"/>
                <w:color w:val="auto"/>
              </w:rPr>
            </w:pPr>
          </w:p>
        </w:tc>
        <w:tc>
          <w:tcPr>
            <w:tcW w:w="52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INCOME BEFORE INTEREST CHARGES</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604,271</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15,020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619,291</w:t>
            </w:r>
          </w:p>
        </w:tc>
      </w:tr>
      <w:tr>
        <w:trPr>
          <w:trHeight w:val="188"/>
        </w:trPr>
        <w:tc>
          <w:tcPr>
            <w:tcW w:w="4540" w:type="dxa"/>
            <w:vAlign w:val="bottom"/>
          </w:tcPr>
          <w:p>
            <w:pPr>
              <w:spacing w:after="0"/>
              <w:rPr>
                <w:sz w:val="16"/>
                <w:szCs w:val="16"/>
                <w:color w:val="auto"/>
              </w:rPr>
            </w:pPr>
          </w:p>
        </w:tc>
        <w:tc>
          <w:tcPr>
            <w:tcW w:w="52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376"/>
        </w:trPr>
        <w:tc>
          <w:tcPr>
            <w:tcW w:w="4540" w:type="dxa"/>
            <w:vAlign w:val="bottom"/>
          </w:tcPr>
          <w:p>
            <w:pPr>
              <w:spacing w:after="0"/>
              <w:rPr>
                <w:sz w:val="20"/>
                <w:szCs w:val="20"/>
                <w:color w:val="auto"/>
              </w:rPr>
            </w:pPr>
            <w:r>
              <w:rPr>
                <w:rFonts w:ascii="Courier New" w:cs="Courier New" w:eastAsia="Courier New" w:hAnsi="Courier New"/>
                <w:sz w:val="16"/>
                <w:szCs w:val="16"/>
                <w:color w:val="auto"/>
              </w:rPr>
              <w:t>INTEREST CHARGES:</w:t>
            </w:r>
          </w:p>
        </w:tc>
        <w:tc>
          <w:tcPr>
            <w:tcW w:w="1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INTEREST ON LONG-TERM DEBT</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321,066</w:t>
            </w:r>
          </w:p>
        </w:tc>
        <w:tc>
          <w:tcPr>
            <w:tcW w:w="166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321,066</w:t>
            </w: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OTHER INTEREST</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11,380</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37,549 (b)</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48,929</w:t>
            </w: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ALLOWANCE FOR BORROWED FUNDS USED</w:t>
            </w:r>
          </w:p>
        </w:tc>
        <w:tc>
          <w:tcPr>
            <w:tcW w:w="17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540" w:type="dxa"/>
            <w:vAlign w:val="bottom"/>
          </w:tcPr>
          <w:p>
            <w:pPr>
              <w:ind w:left="580"/>
              <w:spacing w:after="0"/>
              <w:rPr>
                <w:sz w:val="20"/>
                <w:szCs w:val="20"/>
                <w:color w:val="auto"/>
              </w:rPr>
            </w:pPr>
            <w:r>
              <w:rPr>
                <w:rFonts w:ascii="Courier New" w:cs="Courier New" w:eastAsia="Courier New" w:hAnsi="Courier New"/>
                <w:sz w:val="16"/>
                <w:szCs w:val="16"/>
                <w:color w:val="auto"/>
              </w:rPr>
              <w:t>DURING CONSTRUCTION</w:t>
            </w:r>
          </w:p>
        </w:tc>
        <w:tc>
          <w:tcPr>
            <w:tcW w:w="1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(3,216)</w:t>
            </w:r>
          </w:p>
        </w:tc>
        <w:tc>
          <w:tcPr>
            <w:tcW w:w="1660" w:type="dxa"/>
            <w:vAlign w:val="bottom"/>
          </w:tcPr>
          <w:p>
            <w:pPr>
              <w:spacing w:after="0"/>
              <w:rPr>
                <w:sz w:val="16"/>
                <w:szCs w:val="16"/>
                <w:color w:val="auto"/>
              </w:rPr>
            </w:pP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(3,216)</w:t>
            </w: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DEFERRED NUCLEAR PLANTS RETURN -</w:t>
            </w:r>
          </w:p>
        </w:tc>
        <w:tc>
          <w:tcPr>
            <w:tcW w:w="17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8"/>
        </w:trPr>
        <w:tc>
          <w:tcPr>
            <w:tcW w:w="4540" w:type="dxa"/>
            <w:vAlign w:val="bottom"/>
          </w:tcPr>
          <w:p>
            <w:pPr>
              <w:ind w:left="580"/>
              <w:spacing w:after="0"/>
              <w:rPr>
                <w:sz w:val="20"/>
                <w:szCs w:val="20"/>
                <w:color w:val="auto"/>
              </w:rPr>
            </w:pPr>
            <w:r>
              <w:rPr>
                <w:rFonts w:ascii="Courier New" w:cs="Courier New" w:eastAsia="Courier New" w:hAnsi="Courier New"/>
                <w:sz w:val="16"/>
                <w:szCs w:val="16"/>
                <w:color w:val="auto"/>
              </w:rPr>
              <w:t>BORROWED FUNDS, NET OF INCOME TAX</w:t>
            </w:r>
          </w:p>
        </w:tc>
        <w:tc>
          <w:tcPr>
            <w:tcW w:w="1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(49,657)</w:t>
            </w:r>
          </w:p>
        </w:tc>
        <w:tc>
          <w:tcPr>
            <w:tcW w:w="1660" w:type="dxa"/>
            <w:vAlign w:val="bottom"/>
          </w:tcPr>
          <w:p>
            <w:pPr>
              <w:spacing w:after="0"/>
              <w:rPr>
                <w:sz w:val="16"/>
                <w:szCs w:val="16"/>
                <w:color w:val="auto"/>
              </w:rPr>
            </w:pP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(49,657)</w:t>
            </w:r>
          </w:p>
        </w:tc>
      </w:tr>
      <w:tr>
        <w:trPr>
          <w:trHeight w:val="188"/>
        </w:trPr>
        <w:tc>
          <w:tcPr>
            <w:tcW w:w="4540" w:type="dxa"/>
            <w:vAlign w:val="bottom"/>
          </w:tcPr>
          <w:p>
            <w:pPr>
              <w:spacing w:after="0"/>
              <w:rPr>
                <w:sz w:val="16"/>
                <w:szCs w:val="16"/>
                <w:color w:val="auto"/>
              </w:rPr>
            </w:pPr>
          </w:p>
        </w:tc>
        <w:tc>
          <w:tcPr>
            <w:tcW w:w="52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188"/>
        </w:trPr>
        <w:tc>
          <w:tcPr>
            <w:tcW w:w="4540" w:type="dxa"/>
            <w:vAlign w:val="bottom"/>
          </w:tcPr>
          <w:p>
            <w:pPr>
              <w:ind w:left="580"/>
              <w:spacing w:after="0"/>
              <w:rPr>
                <w:sz w:val="20"/>
                <w:szCs w:val="20"/>
                <w:color w:val="auto"/>
              </w:rPr>
            </w:pPr>
            <w:r>
              <w:rPr>
                <w:rFonts w:ascii="Courier New" w:cs="Courier New" w:eastAsia="Courier New" w:hAnsi="Courier New"/>
                <w:sz w:val="16"/>
                <w:szCs w:val="16"/>
                <w:color w:val="auto"/>
              </w:rPr>
              <w:t>TOTAL INTEREST CHARGES</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279,573</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37,549</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317,122</w:t>
            </w:r>
          </w:p>
        </w:tc>
      </w:tr>
      <w:tr>
        <w:trPr>
          <w:trHeight w:val="188"/>
        </w:trPr>
        <w:tc>
          <w:tcPr>
            <w:tcW w:w="4540" w:type="dxa"/>
            <w:vAlign w:val="bottom"/>
          </w:tcPr>
          <w:p>
            <w:pPr>
              <w:spacing w:after="0"/>
              <w:rPr>
                <w:sz w:val="16"/>
                <w:szCs w:val="16"/>
                <w:color w:val="auto"/>
              </w:rPr>
            </w:pPr>
          </w:p>
        </w:tc>
        <w:tc>
          <w:tcPr>
            <w:tcW w:w="52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188"/>
        </w:trPr>
        <w:tc>
          <w:tcPr>
            <w:tcW w:w="4540" w:type="dxa"/>
            <w:vAlign w:val="bottom"/>
          </w:tcPr>
          <w:p>
            <w:pPr>
              <w:ind w:left="400"/>
              <w:spacing w:after="0"/>
              <w:rPr>
                <w:sz w:val="20"/>
                <w:szCs w:val="20"/>
                <w:color w:val="auto"/>
              </w:rPr>
            </w:pPr>
            <w:r>
              <w:rPr>
                <w:rFonts w:ascii="Courier New" w:cs="Courier New" w:eastAsia="Courier New" w:hAnsi="Courier New"/>
                <w:sz w:val="16"/>
                <w:szCs w:val="16"/>
                <w:color w:val="auto"/>
              </w:rPr>
              <w:t>INCOME BEFORE PREFERRED DIVIDENDS</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324,698</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(22,529)</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302,169</w:t>
            </w:r>
          </w:p>
        </w:tc>
      </w:tr>
      <w:tr>
        <w:trPr>
          <w:trHeight w:val="376"/>
        </w:trPr>
        <w:tc>
          <w:tcPr>
            <w:tcW w:w="4540" w:type="dxa"/>
            <w:vAlign w:val="bottom"/>
          </w:tcPr>
          <w:p>
            <w:pPr>
              <w:spacing w:after="0"/>
              <w:rPr>
                <w:sz w:val="20"/>
                <w:szCs w:val="20"/>
                <w:color w:val="auto"/>
              </w:rPr>
            </w:pPr>
            <w:r>
              <w:rPr>
                <w:rFonts w:ascii="Courier New" w:cs="Courier New" w:eastAsia="Courier New" w:hAnsi="Courier New"/>
                <w:sz w:val="16"/>
                <w:szCs w:val="16"/>
                <w:color w:val="auto"/>
              </w:rPr>
              <w:t>PREFERRED DIVIDENDS OF SUBSIDIARIES</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44,918</w:t>
            </w:r>
          </w:p>
        </w:tc>
        <w:tc>
          <w:tcPr>
            <w:tcW w:w="1660" w:type="dxa"/>
            <w:vAlign w:val="bottom"/>
          </w:tcPr>
          <w:p>
            <w:pPr>
              <w:spacing w:after="0"/>
              <w:rPr>
                <w:sz w:val="24"/>
                <w:szCs w:val="24"/>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44,918</w:t>
            </w:r>
          </w:p>
        </w:tc>
      </w:tr>
      <w:tr>
        <w:trPr>
          <w:trHeight w:val="188"/>
        </w:trPr>
        <w:tc>
          <w:tcPr>
            <w:tcW w:w="4540" w:type="dxa"/>
            <w:vAlign w:val="bottom"/>
          </w:tcPr>
          <w:p>
            <w:pPr>
              <w:spacing w:after="0"/>
              <w:rPr>
                <w:sz w:val="16"/>
                <w:szCs w:val="16"/>
                <w:color w:val="auto"/>
              </w:rPr>
            </w:pPr>
          </w:p>
        </w:tc>
        <w:tc>
          <w:tcPr>
            <w:tcW w:w="52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w:t>
            </w:r>
          </w:p>
        </w:tc>
      </w:tr>
      <w:tr>
        <w:trPr>
          <w:trHeight w:val="188"/>
        </w:trPr>
        <w:tc>
          <w:tcPr>
            <w:tcW w:w="4540" w:type="dxa"/>
            <w:vAlign w:val="bottom"/>
          </w:tcPr>
          <w:p>
            <w:pPr>
              <w:ind w:left="480"/>
              <w:spacing w:after="0"/>
              <w:rPr>
                <w:sz w:val="20"/>
                <w:szCs w:val="20"/>
                <w:color w:val="auto"/>
              </w:rPr>
            </w:pPr>
            <w:r>
              <w:rPr>
                <w:rFonts w:ascii="Courier New" w:cs="Courier New" w:eastAsia="Courier New" w:hAnsi="Courier New"/>
                <w:sz w:val="16"/>
                <w:szCs w:val="16"/>
                <w:color w:val="auto"/>
              </w:rPr>
              <w:t>NET INCOME</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279,780</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(22,529)</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257,251</w:t>
            </w:r>
          </w:p>
        </w:tc>
      </w:tr>
      <w:tr>
        <w:trPr>
          <w:trHeight w:val="376"/>
        </w:trPr>
        <w:tc>
          <w:tcPr>
            <w:tcW w:w="4540" w:type="dxa"/>
            <w:vAlign w:val="bottom"/>
          </w:tcPr>
          <w:p>
            <w:pPr>
              <w:spacing w:after="0"/>
              <w:rPr>
                <w:sz w:val="20"/>
                <w:szCs w:val="20"/>
                <w:color w:val="auto"/>
              </w:rPr>
            </w:pPr>
            <w:r>
              <w:rPr>
                <w:rFonts w:ascii="Courier New" w:cs="Courier New" w:eastAsia="Courier New" w:hAnsi="Courier New"/>
                <w:sz w:val="16"/>
                <w:szCs w:val="16"/>
                <w:color w:val="auto"/>
              </w:rPr>
              <w:t>EARNINGS FOR COMMON SHARE</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279,780</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(22,529)</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257,251</w:t>
            </w:r>
          </w:p>
        </w:tc>
      </w:tr>
      <w:tr>
        <w:trPr>
          <w:trHeight w:val="376"/>
        </w:trPr>
        <w:tc>
          <w:tcPr>
            <w:tcW w:w="4540" w:type="dxa"/>
            <w:vAlign w:val="bottom"/>
          </w:tcPr>
          <w:p>
            <w:pPr>
              <w:spacing w:after="0"/>
              <w:rPr>
                <w:sz w:val="20"/>
                <w:szCs w:val="20"/>
                <w:color w:val="auto"/>
              </w:rPr>
            </w:pPr>
            <w:r>
              <w:rPr>
                <w:rFonts w:ascii="Courier New" w:cs="Courier New" w:eastAsia="Courier New" w:hAnsi="Courier New"/>
                <w:sz w:val="16"/>
                <w:szCs w:val="16"/>
                <w:color w:val="auto"/>
              </w:rPr>
              <w:t>EARNINGS PER COMMON SHARE</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2.25</w:t>
            </w:r>
          </w:p>
        </w:tc>
        <w:tc>
          <w:tcPr>
            <w:tcW w:w="1660" w:type="dxa"/>
            <w:vAlign w:val="bottom"/>
          </w:tcPr>
          <w:p>
            <w:pPr>
              <w:spacing w:after="0"/>
              <w:rPr>
                <w:sz w:val="24"/>
                <w:szCs w:val="24"/>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2.07</w:t>
            </w:r>
          </w:p>
        </w:tc>
      </w:tr>
      <w:tr>
        <w:trPr>
          <w:trHeight w:val="376"/>
        </w:trPr>
        <w:tc>
          <w:tcPr>
            <w:tcW w:w="4540" w:type="dxa"/>
            <w:vAlign w:val="bottom"/>
          </w:tcPr>
          <w:p>
            <w:pPr>
              <w:spacing w:after="0"/>
              <w:rPr>
                <w:sz w:val="20"/>
                <w:szCs w:val="20"/>
                <w:color w:val="auto"/>
              </w:rPr>
            </w:pPr>
            <w:r>
              <w:rPr>
                <w:rFonts w:ascii="Courier New" w:cs="Courier New" w:eastAsia="Courier New" w:hAnsi="Courier New"/>
                <w:sz w:val="16"/>
                <w:szCs w:val="16"/>
                <w:color w:val="auto"/>
              </w:rPr>
              <w:t>COMMON SHARES OUTSTANDING (AVERAGE)</w:t>
            </w:r>
          </w:p>
        </w:tc>
        <w:tc>
          <w:tcPr>
            <w:tcW w:w="1720" w:type="dxa"/>
            <w:vAlign w:val="bottom"/>
          </w:tcPr>
          <w:p>
            <w:pPr>
              <w:ind w:left="540"/>
              <w:spacing w:after="0"/>
              <w:rPr>
                <w:sz w:val="20"/>
                <w:szCs w:val="20"/>
                <w:color w:val="auto"/>
              </w:rPr>
            </w:pPr>
            <w:r>
              <w:rPr>
                <w:rFonts w:ascii="Courier New" w:cs="Courier New" w:eastAsia="Courier New" w:hAnsi="Courier New"/>
                <w:sz w:val="16"/>
                <w:szCs w:val="16"/>
                <w:color w:val="auto"/>
              </w:rPr>
              <w:t>124,329,564</w:t>
            </w:r>
          </w:p>
        </w:tc>
        <w:tc>
          <w:tcPr>
            <w:tcW w:w="1660" w:type="dxa"/>
            <w:vAlign w:val="bottom"/>
          </w:tcPr>
          <w:p>
            <w:pPr>
              <w:spacing w:after="0"/>
              <w:rPr>
                <w:sz w:val="24"/>
                <w:szCs w:val="24"/>
                <w:color w:val="auto"/>
              </w:rPr>
            </w:pP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124,329,564</w:t>
            </w:r>
          </w:p>
        </w:tc>
      </w:tr>
    </w:tbl>
    <w:p>
      <w:pPr>
        <w:spacing w:after="0" w:line="192" w:lineRule="exact"/>
        <w:rPr>
          <w:sz w:val="20"/>
          <w:szCs w:val="20"/>
          <w:color w:val="auto"/>
        </w:rPr>
      </w:pPr>
    </w:p>
    <w:p>
      <w:pPr>
        <w:ind w:left="300" w:hanging="300"/>
        <w:spacing w:after="0"/>
        <w:tabs>
          <w:tab w:leader="none" w:pos="3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EXPLANATION AT FINANCIAL STATEMENT 11.2.1  PAGE 3 OF 3</w:t>
      </w:r>
    </w:p>
    <w:p>
      <w:pPr>
        <w:spacing w:after="0" w:line="3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NORTHEAST UTILITIES AND SUBSIDIARIES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CAPITAL STRUCTURE AS OF JUNE 30, 1994</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(THOUSANDS OF DOLLARS)</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FINANCIAL STATEMENT 11.2.1 PAGE 2 OF 3</w:t>
      </w:r>
    </w:p>
    <w:p>
      <w:pPr>
        <w:sectPr>
          <w:pgSz w:w="11900" w:h="16850" w:orient="portrait"/>
          <w:cols w:equalWidth="0" w:num="1">
            <w:col w:w="10219"/>
          </w:cols>
          <w:pgMar w:left="240" w:top="33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 BOOK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PRO FORMA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ADJUSTMENT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right"/>
        <w:spacing w:after="0" w:line="249" w:lineRule="auto"/>
        <w:rPr>
          <w:sz w:val="20"/>
          <w:szCs w:val="20"/>
          <w:color w:val="auto"/>
        </w:rPr>
      </w:pPr>
      <w:r>
        <w:rPr>
          <w:rFonts w:ascii="Courier New" w:cs="Courier New" w:eastAsia="Courier New" w:hAnsi="Courier New"/>
          <w:sz w:val="16"/>
          <w:szCs w:val="16"/>
          <w:color w:val="auto"/>
        </w:rPr>
        <w:t>PER BOOK ADJUSTED TO REFLECT PRO FORMA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50" w:orient="portrait"/>
          <w:cols w:equalWidth="0" w:num="5">
            <w:col w:w="4560" w:space="720"/>
            <w:col w:w="780" w:space="480"/>
            <w:col w:w="980" w:space="500"/>
            <w:col w:w="1060" w:space="500"/>
            <w:col w:w="639"/>
          </w:cols>
          <w:pgMar w:left="240" w:top="33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DEBT:</w:t>
      </w:r>
    </w:p>
    <w:p>
      <w:pPr>
        <w:sectPr>
          <w:pgSz w:w="11900" w:h="16850" w:orient="portrait"/>
          <w:cols w:equalWidth="0" w:num="1">
            <w:col w:w="10219"/>
          </w:cols>
          <w:pgMar w:left="240" w:top="330" w:right="1440" w:bottom="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LONG-TERM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59.1%$4,193,188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$4,193,188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59.3%</w:t>
      </w:r>
    </w:p>
    <w:p>
      <w:pPr>
        <w:spacing w:after="0" w:line="200" w:lineRule="exact"/>
        <w:rPr>
          <w:sz w:val="20"/>
          <w:szCs w:val="20"/>
          <w:color w:val="auto"/>
        </w:rPr>
      </w:pPr>
    </w:p>
    <w:p>
      <w:pPr>
        <w:sectPr>
          <w:pgSz w:w="11900" w:h="16850" w:orient="portrait"/>
          <w:cols w:equalWidth="0" w:num="6">
            <w:col w:w="1760" w:space="200"/>
            <w:col w:w="1920" w:space="720"/>
            <w:col w:w="2100" w:space="720"/>
            <w:col w:w="100" w:space="600"/>
            <w:col w:w="960" w:space="500"/>
            <w:col w:w="639"/>
          </w:cols>
          <w:pgMar w:left="240" w:top="330" w:right="1440" w:bottom="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ectPr>
          <w:pgSz w:w="11900" w:h="16850" w:orient="portrait"/>
          <w:cols w:equalWidth="0" w:num="1">
            <w:col w:w="10219"/>
          </w:cols>
          <w:pgMar w:left="240" w:top="330" w:right="1440" w:bottom="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84"/>
        </w:trPr>
        <w:tc>
          <w:tcPr>
            <w:tcW w:w="4160" w:type="dxa"/>
            <w:vAlign w:val="bottom"/>
          </w:tcPr>
          <w:p>
            <w:pPr>
              <w:ind w:left="300"/>
              <w:spacing w:after="0"/>
              <w:rPr>
                <w:sz w:val="20"/>
                <w:szCs w:val="20"/>
                <w:color w:val="auto"/>
              </w:rPr>
            </w:pPr>
            <w:r>
              <w:rPr>
                <w:rFonts w:ascii="Courier New" w:cs="Courier New" w:eastAsia="Courier New" w:hAnsi="Courier New"/>
                <w:sz w:val="16"/>
                <w:szCs w:val="16"/>
                <w:color w:val="auto"/>
              </w:rPr>
              <w:t>NOT SUBJECT TO REDEMPTION</w:t>
            </w:r>
          </w:p>
        </w:tc>
        <w:tc>
          <w:tcPr>
            <w:tcW w:w="23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241,200</w:t>
            </w:r>
          </w:p>
        </w:tc>
        <w:tc>
          <w:tcPr>
            <w:tcW w:w="1360" w:type="dxa"/>
            <w:vAlign w:val="bottom"/>
          </w:tcPr>
          <w:p>
            <w:pPr>
              <w:spacing w:after="0"/>
              <w:rPr>
                <w:sz w:val="15"/>
                <w:szCs w:val="15"/>
                <w:color w:val="auto"/>
              </w:rPr>
            </w:pPr>
          </w:p>
        </w:tc>
        <w:tc>
          <w:tcPr>
            <w:tcW w:w="14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241,200</w:t>
            </w:r>
          </w:p>
        </w:tc>
        <w:tc>
          <w:tcPr>
            <w:tcW w:w="720" w:type="dxa"/>
            <w:vAlign w:val="bottom"/>
          </w:tcPr>
          <w:p>
            <w:pPr>
              <w:spacing w:after="0"/>
              <w:rPr>
                <w:sz w:val="15"/>
                <w:szCs w:val="15"/>
                <w:color w:val="auto"/>
              </w:rPr>
            </w:pPr>
          </w:p>
        </w:tc>
      </w:tr>
      <w:tr>
        <w:trPr>
          <w:trHeight w:val="188"/>
        </w:trPr>
        <w:tc>
          <w:tcPr>
            <w:tcW w:w="4160" w:type="dxa"/>
            <w:vAlign w:val="bottom"/>
          </w:tcPr>
          <w:p>
            <w:pPr>
              <w:ind w:left="300"/>
              <w:spacing w:after="0"/>
              <w:rPr>
                <w:sz w:val="20"/>
                <w:szCs w:val="20"/>
                <w:color w:val="auto"/>
              </w:rPr>
            </w:pPr>
            <w:r>
              <w:rPr>
                <w:rFonts w:ascii="Courier New" w:cs="Courier New" w:eastAsia="Courier New" w:hAnsi="Courier New"/>
                <w:sz w:val="16"/>
                <w:szCs w:val="16"/>
                <w:color w:val="auto"/>
              </w:rPr>
              <w:t>SUBJECT TO REDEMPTION</w:t>
            </w:r>
          </w:p>
        </w:tc>
        <w:tc>
          <w:tcPr>
            <w:tcW w:w="23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379,000</w:t>
            </w:r>
          </w:p>
        </w:tc>
        <w:tc>
          <w:tcPr>
            <w:tcW w:w="136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379,000</w:t>
            </w:r>
          </w:p>
        </w:tc>
        <w:tc>
          <w:tcPr>
            <w:tcW w:w="720" w:type="dxa"/>
            <w:vAlign w:val="bottom"/>
          </w:tcPr>
          <w:p>
            <w:pPr>
              <w:spacing w:after="0"/>
              <w:rPr>
                <w:sz w:val="16"/>
                <w:szCs w:val="16"/>
                <w:color w:val="auto"/>
              </w:rPr>
            </w:pPr>
          </w:p>
        </w:tc>
      </w:tr>
      <w:tr>
        <w:trPr>
          <w:trHeight w:val="188"/>
        </w:trPr>
        <w:tc>
          <w:tcPr>
            <w:tcW w:w="4160" w:type="dxa"/>
            <w:vAlign w:val="bottom"/>
          </w:tcPr>
          <w:p>
            <w:pPr>
              <w:spacing w:after="0"/>
              <w:rPr>
                <w:sz w:val="16"/>
                <w:szCs w:val="16"/>
                <w:color w:val="auto"/>
              </w:rPr>
            </w:pPr>
          </w:p>
        </w:tc>
        <w:tc>
          <w:tcPr>
            <w:tcW w:w="5900" w:type="dxa"/>
            <w:vAlign w:val="bottom"/>
            <w:gridSpan w:val="4"/>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ind w:left="580"/>
              <w:spacing w:after="0"/>
              <w:rPr>
                <w:sz w:val="20"/>
                <w:szCs w:val="20"/>
                <w:color w:val="auto"/>
              </w:rPr>
            </w:pPr>
            <w:r>
              <w:rPr>
                <w:rFonts w:ascii="Courier New" w:cs="Courier New" w:eastAsia="Courier New" w:hAnsi="Courier New"/>
                <w:sz w:val="16"/>
                <w:szCs w:val="16"/>
                <w:color w:val="auto"/>
              </w:rPr>
              <w:t>TOTAL PREFERRED STOCK</w:t>
            </w:r>
          </w:p>
        </w:tc>
        <w:tc>
          <w:tcPr>
            <w:tcW w:w="23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8.7%   620,200</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620,200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8.8%</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COMMON EQUITY:</w:t>
            </w:r>
          </w:p>
        </w:tc>
        <w:tc>
          <w:tcPr>
            <w:tcW w:w="2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8"/>
        </w:trPr>
        <w:tc>
          <w:tcPr>
            <w:tcW w:w="4160" w:type="dxa"/>
            <w:vAlign w:val="bottom"/>
          </w:tcPr>
          <w:p>
            <w:pPr>
              <w:ind w:left="300"/>
              <w:spacing w:after="0"/>
              <w:rPr>
                <w:sz w:val="20"/>
                <w:szCs w:val="20"/>
                <w:color w:val="auto"/>
              </w:rPr>
            </w:pPr>
            <w:r>
              <w:rPr>
                <w:rFonts w:ascii="Courier New" w:cs="Courier New" w:eastAsia="Courier New" w:hAnsi="Courier New"/>
                <w:sz w:val="16"/>
                <w:szCs w:val="16"/>
                <w:color w:val="auto"/>
              </w:rPr>
              <w:t>COMMON SHARES</w:t>
            </w:r>
          </w:p>
        </w:tc>
        <w:tc>
          <w:tcPr>
            <w:tcW w:w="23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671,048</w:t>
            </w:r>
          </w:p>
        </w:tc>
        <w:tc>
          <w:tcPr>
            <w:tcW w:w="136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671,048</w:t>
            </w:r>
          </w:p>
        </w:tc>
        <w:tc>
          <w:tcPr>
            <w:tcW w:w="720" w:type="dxa"/>
            <w:vAlign w:val="bottom"/>
          </w:tcPr>
          <w:p>
            <w:pPr>
              <w:spacing w:after="0"/>
              <w:rPr>
                <w:sz w:val="16"/>
                <w:szCs w:val="16"/>
                <w:color w:val="auto"/>
              </w:rPr>
            </w:pPr>
          </w:p>
        </w:tc>
      </w:tr>
      <w:tr>
        <w:trPr>
          <w:trHeight w:val="188"/>
        </w:trPr>
        <w:tc>
          <w:tcPr>
            <w:tcW w:w="4160" w:type="dxa"/>
            <w:vAlign w:val="bottom"/>
          </w:tcPr>
          <w:p>
            <w:pPr>
              <w:ind w:left="300"/>
              <w:spacing w:after="0"/>
              <w:rPr>
                <w:sz w:val="20"/>
                <w:szCs w:val="20"/>
                <w:color w:val="auto"/>
              </w:rPr>
            </w:pPr>
            <w:r>
              <w:rPr>
                <w:rFonts w:ascii="Courier New" w:cs="Courier New" w:eastAsia="Courier New" w:hAnsi="Courier New"/>
                <w:sz w:val="16"/>
                <w:szCs w:val="16"/>
                <w:color w:val="auto"/>
              </w:rPr>
              <w:t>CAPITAL SURPLUS,  PAID IN</w:t>
            </w:r>
          </w:p>
        </w:tc>
        <w:tc>
          <w:tcPr>
            <w:tcW w:w="23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903,137</w:t>
            </w:r>
          </w:p>
        </w:tc>
        <w:tc>
          <w:tcPr>
            <w:tcW w:w="136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903,137</w:t>
            </w:r>
          </w:p>
        </w:tc>
        <w:tc>
          <w:tcPr>
            <w:tcW w:w="720" w:type="dxa"/>
            <w:vAlign w:val="bottom"/>
          </w:tcPr>
          <w:p>
            <w:pPr>
              <w:spacing w:after="0"/>
              <w:rPr>
                <w:sz w:val="16"/>
                <w:szCs w:val="16"/>
                <w:color w:val="auto"/>
              </w:rPr>
            </w:pPr>
          </w:p>
        </w:tc>
      </w:tr>
      <w:tr>
        <w:trPr>
          <w:trHeight w:val="188"/>
        </w:trPr>
        <w:tc>
          <w:tcPr>
            <w:tcW w:w="4160" w:type="dxa"/>
            <w:vAlign w:val="bottom"/>
          </w:tcPr>
          <w:p>
            <w:pPr>
              <w:ind w:left="300"/>
              <w:spacing w:after="0"/>
              <w:rPr>
                <w:sz w:val="20"/>
                <w:szCs w:val="20"/>
                <w:color w:val="auto"/>
              </w:rPr>
            </w:pPr>
            <w:r>
              <w:rPr>
                <w:rFonts w:ascii="Courier New" w:cs="Courier New" w:eastAsia="Courier New" w:hAnsi="Courier New"/>
                <w:sz w:val="16"/>
                <w:szCs w:val="16"/>
                <w:color w:val="auto"/>
              </w:rPr>
              <w:t>DEFERRED BENEFIT PLAN-EMPLOYEE STOCK</w:t>
            </w:r>
          </w:p>
        </w:tc>
        <w:tc>
          <w:tcPr>
            <w:tcW w:w="2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4160" w:type="dxa"/>
            <w:vAlign w:val="bottom"/>
          </w:tcPr>
          <w:p>
            <w:pPr>
              <w:ind w:left="480"/>
              <w:spacing w:after="0"/>
              <w:rPr>
                <w:sz w:val="20"/>
                <w:szCs w:val="20"/>
                <w:color w:val="auto"/>
              </w:rPr>
            </w:pPr>
            <w:r>
              <w:rPr>
                <w:rFonts w:ascii="Courier New" w:cs="Courier New" w:eastAsia="Courier New" w:hAnsi="Courier New"/>
                <w:sz w:val="16"/>
                <w:szCs w:val="16"/>
                <w:color w:val="auto"/>
              </w:rPr>
              <w:t>OWNERSHIP PLAN</w:t>
            </w:r>
          </w:p>
        </w:tc>
        <w:tc>
          <w:tcPr>
            <w:tcW w:w="2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(221,047)</w:t>
            </w:r>
          </w:p>
        </w:tc>
        <w:tc>
          <w:tcPr>
            <w:tcW w:w="1360" w:type="dxa"/>
            <w:vAlign w:val="bottom"/>
          </w:tcPr>
          <w:p>
            <w:pPr>
              <w:spacing w:after="0"/>
              <w:rPr>
                <w:sz w:val="16"/>
                <w:szCs w:val="16"/>
                <w:color w:val="auto"/>
              </w:rPr>
            </w:pPr>
          </w:p>
        </w:tc>
        <w:tc>
          <w:tcPr>
            <w:tcW w:w="14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(221,047)</w:t>
            </w:r>
          </w:p>
        </w:tc>
        <w:tc>
          <w:tcPr>
            <w:tcW w:w="720" w:type="dxa"/>
            <w:vAlign w:val="bottom"/>
          </w:tcPr>
          <w:p>
            <w:pPr>
              <w:spacing w:after="0"/>
              <w:rPr>
                <w:sz w:val="16"/>
                <w:szCs w:val="16"/>
                <w:color w:val="auto"/>
              </w:rPr>
            </w:pPr>
          </w:p>
        </w:tc>
      </w:tr>
      <w:tr>
        <w:trPr>
          <w:trHeight w:val="188"/>
        </w:trPr>
        <w:tc>
          <w:tcPr>
            <w:tcW w:w="4160" w:type="dxa"/>
            <w:vAlign w:val="bottom"/>
          </w:tcPr>
          <w:p>
            <w:pPr>
              <w:ind w:left="300"/>
              <w:spacing w:after="0"/>
              <w:rPr>
                <w:sz w:val="20"/>
                <w:szCs w:val="20"/>
                <w:color w:val="auto"/>
              </w:rPr>
            </w:pPr>
            <w:r>
              <w:rPr>
                <w:rFonts w:ascii="Courier New" w:cs="Courier New" w:eastAsia="Courier New" w:hAnsi="Courier New"/>
                <w:sz w:val="16"/>
                <w:szCs w:val="16"/>
                <w:color w:val="auto"/>
              </w:rPr>
              <w:t>RETAINED EARNINGS</w:t>
            </w:r>
          </w:p>
        </w:tc>
        <w:tc>
          <w:tcPr>
            <w:tcW w:w="23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927,032</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(22,529)</w:t>
            </w:r>
          </w:p>
        </w:tc>
        <w:tc>
          <w:tcPr>
            <w:tcW w:w="14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904,503</w:t>
            </w:r>
          </w:p>
        </w:tc>
        <w:tc>
          <w:tcPr>
            <w:tcW w:w="720" w:type="dxa"/>
            <w:vAlign w:val="bottom"/>
          </w:tcPr>
          <w:p>
            <w:pPr>
              <w:spacing w:after="0"/>
              <w:rPr>
                <w:sz w:val="16"/>
                <w:szCs w:val="16"/>
                <w:color w:val="auto"/>
              </w:rPr>
            </w:pPr>
          </w:p>
        </w:tc>
      </w:tr>
      <w:tr>
        <w:trPr>
          <w:trHeight w:val="188"/>
        </w:trPr>
        <w:tc>
          <w:tcPr>
            <w:tcW w:w="4160" w:type="dxa"/>
            <w:vAlign w:val="bottom"/>
          </w:tcPr>
          <w:p>
            <w:pPr>
              <w:spacing w:after="0"/>
              <w:rPr>
                <w:sz w:val="16"/>
                <w:szCs w:val="16"/>
                <w:color w:val="auto"/>
              </w:rPr>
            </w:pPr>
          </w:p>
        </w:tc>
        <w:tc>
          <w:tcPr>
            <w:tcW w:w="5900" w:type="dxa"/>
            <w:vAlign w:val="bottom"/>
            <w:gridSpan w:val="4"/>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ind w:left="300"/>
              <w:spacing w:after="0"/>
              <w:rPr>
                <w:sz w:val="20"/>
                <w:szCs w:val="20"/>
                <w:color w:val="auto"/>
              </w:rPr>
            </w:pPr>
            <w:r>
              <w:rPr>
                <w:rFonts w:ascii="Courier New" w:cs="Courier New" w:eastAsia="Courier New" w:hAnsi="Courier New"/>
                <w:sz w:val="16"/>
                <w:szCs w:val="16"/>
                <w:color w:val="auto"/>
              </w:rPr>
              <w:t>TOTAL COMMON STOCKHOLDER'S EQUITY</w:t>
            </w:r>
          </w:p>
        </w:tc>
        <w:tc>
          <w:tcPr>
            <w:tcW w:w="23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32.2% 2,280,170</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(22,529)</w:t>
            </w:r>
          </w:p>
        </w:tc>
        <w:tc>
          <w:tcPr>
            <w:tcW w:w="14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2,257,641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31.9%</w:t>
            </w:r>
          </w:p>
        </w:tc>
      </w:tr>
      <w:tr>
        <w:trPr>
          <w:trHeight w:val="188"/>
        </w:trPr>
        <w:tc>
          <w:tcPr>
            <w:tcW w:w="4160" w:type="dxa"/>
            <w:vAlign w:val="bottom"/>
          </w:tcPr>
          <w:p>
            <w:pPr>
              <w:spacing w:after="0"/>
              <w:rPr>
                <w:sz w:val="16"/>
                <w:szCs w:val="16"/>
                <w:color w:val="auto"/>
              </w:rPr>
            </w:pPr>
          </w:p>
        </w:tc>
        <w:tc>
          <w:tcPr>
            <w:tcW w:w="5900" w:type="dxa"/>
            <w:vAlign w:val="bottom"/>
            <w:gridSpan w:val="4"/>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6"/>
        </w:trPr>
        <w:tc>
          <w:tcPr>
            <w:tcW w:w="4160" w:type="dxa"/>
            <w:vAlign w:val="bottom"/>
          </w:tcPr>
          <w:p>
            <w:pPr>
              <w:ind w:left="1560"/>
              <w:spacing w:after="0"/>
              <w:rPr>
                <w:sz w:val="20"/>
                <w:szCs w:val="20"/>
                <w:color w:val="auto"/>
              </w:rPr>
            </w:pPr>
            <w:r>
              <w:rPr>
                <w:rFonts w:ascii="Courier New" w:cs="Courier New" w:eastAsia="Courier New" w:hAnsi="Courier New"/>
                <w:sz w:val="16"/>
                <w:szCs w:val="16"/>
                <w:color w:val="auto"/>
              </w:rPr>
              <w:t>TOTAL CAPITAL</w:t>
            </w:r>
          </w:p>
        </w:tc>
        <w:tc>
          <w:tcPr>
            <w:tcW w:w="23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100.0%$7,093,558</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(22,529)</w:t>
            </w:r>
          </w:p>
        </w:tc>
        <w:tc>
          <w:tcPr>
            <w:tcW w:w="14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$7,071,029</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bl>
    <w:p>
      <w:pPr>
        <w:sectPr>
          <w:pgSz w:w="11900" w:h="16838" w:orient="portrait"/>
          <w:cols w:equalWidth="0" w:num="1">
            <w:col w:w="10219"/>
          </w:cols>
          <w:pgMar w:left="240" w:top="142" w:right="1440" w:bottom="1440" w:gutter="0" w:footer="0" w:header="0"/>
        </w:sectPr>
      </w:pPr>
    </w:p>
    <w:bookmarkStart w:id="35" w:name="page36"/>
    <w:bookmarkEnd w:id="35"/>
    <w:p>
      <w:pPr>
        <w:ind w:left="3620"/>
        <w:spacing w:after="0"/>
        <w:rPr>
          <w:sz w:val="20"/>
          <w:szCs w:val="20"/>
          <w:color w:val="auto"/>
        </w:rPr>
      </w:pPr>
      <w:r>
        <w:rPr>
          <w:rFonts w:ascii="Courier New" w:cs="Courier New" w:eastAsia="Courier New" w:hAnsi="Courier New"/>
          <w:sz w:val="16"/>
          <w:szCs w:val="16"/>
          <w:color w:val="auto"/>
        </w:rPr>
        <w:t>NORTHEAST UTILITIES AND SUBSIDIARIES</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EXPLANATION OF ADJUSTMENTS</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(THOUSANDS OF DOLLARS)</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FINANCIAL STATEMENT 11.2.1 PAGE 3 OF 3</w:t>
      </w:r>
    </w:p>
    <w:p>
      <w:pPr>
        <w:sectPr>
          <w:pgSz w:w="11900" w:h="16838" w:orient="portrait"/>
          <w:cols w:equalWidth="0" w:num="1">
            <w:col w:w="11520"/>
          </w:cols>
          <w:pgMar w:left="240" w:top="493" w:right="139" w:bottom="1440" w:gutter="0" w:footer="0" w:header="0"/>
        </w:sectPr>
      </w:pPr>
    </w:p>
    <w:p>
      <w:pPr>
        <w:spacing w:after="0" w:line="195"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DEBIT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w:t>
      </w:r>
    </w:p>
    <w:p>
      <w:pPr>
        <w:spacing w:after="0" w:line="195" w:lineRule="exact"/>
        <w:rPr>
          <w:sz w:val="20"/>
          <w:szCs w:val="20"/>
          <w:color w:val="auto"/>
        </w:rPr>
      </w:pPr>
    </w:p>
    <w:p>
      <w:pPr>
        <w:sectPr>
          <w:pgSz w:w="11900" w:h="16838" w:orient="portrait"/>
          <w:cols w:equalWidth="0" w:num="2">
            <w:col w:w="7500" w:space="720"/>
            <w:col w:w="3300"/>
          </w:cols>
          <w:pgMar w:left="240" w:top="493" w:right="139" w:bottom="1440" w:gutter="0" w:footer="0" w:header="0"/>
          <w:type w:val="continuous"/>
        </w:sectPr>
      </w:pPr>
    </w:p>
    <w:p>
      <w:pPr>
        <w:spacing w:after="0"/>
        <w:tabs>
          <w:tab w:leader="none" w:pos="560" w:val="left"/>
        </w:tabs>
        <w:rPr>
          <w:sz w:val="20"/>
          <w:szCs w:val="20"/>
          <w:color w:val="auto"/>
        </w:rPr>
      </w:pPr>
      <w:r>
        <w:rPr>
          <w:rFonts w:ascii="Courier New" w:cs="Courier New" w:eastAsia="Courier New" w:hAnsi="Courier New"/>
          <w:sz w:val="16"/>
          <w:szCs w:val="16"/>
          <w:color w:val="auto"/>
        </w:rPr>
        <w:t>(a)</w:t>
        <w:tab/>
        <w:t>CASH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$484,500</w:t>
      </w:r>
    </w:p>
    <w:p>
      <w:pPr>
        <w:spacing w:after="0" w:line="7" w:lineRule="exact"/>
        <w:rPr>
          <w:sz w:val="20"/>
          <w:szCs w:val="20"/>
          <w:color w:val="auto"/>
        </w:rPr>
      </w:pPr>
    </w:p>
    <w:p>
      <w:pPr>
        <w:sectPr>
          <w:pgSz w:w="11900" w:h="16838" w:orient="portrait"/>
          <w:cols w:equalWidth="0" w:num="2">
            <w:col w:w="6020" w:space="720"/>
            <w:col w:w="4780"/>
          </w:cols>
          <w:pgMar w:left="240" w:top="493" w:right="139" w:bottom="1440" w:gutter="0" w:footer="0" w:header="0"/>
          <w:type w:val="continuous"/>
        </w:sectPr>
      </w:pPr>
    </w:p>
    <w:p>
      <w:pPr>
        <w:ind w:left="1460"/>
        <w:spacing w:after="0"/>
        <w:rPr>
          <w:sz w:val="20"/>
          <w:szCs w:val="20"/>
          <w:color w:val="auto"/>
        </w:rPr>
      </w:pPr>
      <w:r>
        <w:rPr>
          <w:rFonts w:ascii="Courier New" w:cs="Courier New" w:eastAsia="Courier New" w:hAnsi="Courier New"/>
          <w:sz w:val="16"/>
          <w:szCs w:val="16"/>
          <w:color w:val="auto"/>
        </w:rPr>
        <w:t>NOTES PAYABLE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$484,500</w:t>
      </w:r>
    </w:p>
    <w:p>
      <w:pPr>
        <w:spacing w:after="0" w:line="195" w:lineRule="exact"/>
        <w:rPr>
          <w:sz w:val="20"/>
          <w:szCs w:val="20"/>
          <w:color w:val="auto"/>
        </w:rPr>
      </w:pPr>
    </w:p>
    <w:p>
      <w:pPr>
        <w:sectPr>
          <w:pgSz w:w="11900" w:h="16838" w:orient="portrait"/>
          <w:cols w:equalWidth="0" w:num="2">
            <w:col w:w="7580" w:space="720"/>
            <w:col w:w="3220"/>
          </w:cols>
          <w:pgMar w:left="240" w:top="493" w:right="139" w:bottom="1440" w:gutter="0" w:footer="0" w:header="0"/>
          <w:type w:val="continuous"/>
        </w:sectPr>
      </w:pPr>
    </w:p>
    <w:p>
      <w:pPr>
        <w:ind w:right="280"/>
        <w:spacing w:after="0" w:line="250" w:lineRule="auto"/>
        <w:rPr>
          <w:sz w:val="20"/>
          <w:szCs w:val="20"/>
          <w:color w:val="auto"/>
        </w:rPr>
      </w:pPr>
      <w:r>
        <w:rPr>
          <w:rFonts w:ascii="Courier New" w:cs="Courier New" w:eastAsia="Courier New" w:hAnsi="Courier New"/>
          <w:sz w:val="16"/>
          <w:szCs w:val="16"/>
          <w:color w:val="auto"/>
        </w:rPr>
        <w:t>To record the additional proposed borrowing up to an aggregate amount of $787 million that will be available to all applicants seeking authorization to borrow outside the NU system. The consolidated amount being requested excludes NAEC, Quinnehtuk and HEC who will only be able to borrow internally through the Money Pool.</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rPr>
              <w:t>NU (Parent)</w:t>
            </w:r>
          </w:p>
        </w:tc>
        <w:tc>
          <w:tcPr>
            <w:tcW w:w="2940" w:type="dxa"/>
            <w:vAlign w:val="bottom"/>
          </w:tcPr>
          <w:p>
            <w:pPr>
              <w:jc w:val="right"/>
              <w:ind w:right="1879"/>
              <w:spacing w:after="0"/>
              <w:rPr>
                <w:sz w:val="20"/>
                <w:szCs w:val="20"/>
                <w:color w:val="auto"/>
              </w:rPr>
            </w:pPr>
            <w:r>
              <w:rPr>
                <w:rFonts w:ascii="Courier New" w:cs="Courier New" w:eastAsia="Courier New" w:hAnsi="Courier New"/>
                <w:sz w:val="16"/>
                <w:szCs w:val="16"/>
                <w:color w:val="auto"/>
              </w:rPr>
              <w:t>$150,000</w:t>
            </w:r>
          </w:p>
        </w:tc>
        <w:tc>
          <w:tcPr>
            <w:tcW w:w="1060" w:type="dxa"/>
            <w:vAlign w:val="bottom"/>
          </w:tcPr>
          <w:p>
            <w:pPr>
              <w:spacing w:after="0"/>
              <w:rPr>
                <w:sz w:val="15"/>
                <w:szCs w:val="15"/>
                <w:color w:val="auto"/>
              </w:rPr>
            </w:pPr>
          </w:p>
        </w:tc>
      </w:tr>
      <w:tr>
        <w:trPr>
          <w:trHeight w:val="188"/>
        </w:trPr>
        <w:tc>
          <w:tcPr>
            <w:tcW w:w="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rPr>
              <w:t>CL&amp;P</w:t>
            </w:r>
          </w:p>
        </w:tc>
        <w:tc>
          <w:tcPr>
            <w:tcW w:w="2940" w:type="dxa"/>
            <w:vAlign w:val="bottom"/>
          </w:tcPr>
          <w:p>
            <w:pPr>
              <w:jc w:val="right"/>
              <w:ind w:right="1879"/>
              <w:spacing w:after="0"/>
              <w:rPr>
                <w:sz w:val="20"/>
                <w:szCs w:val="20"/>
                <w:color w:val="auto"/>
              </w:rPr>
            </w:pPr>
            <w:r>
              <w:rPr>
                <w:rFonts w:ascii="Courier New" w:cs="Courier New" w:eastAsia="Courier New" w:hAnsi="Courier New"/>
                <w:sz w:val="16"/>
                <w:szCs w:val="16"/>
                <w:color w:val="auto"/>
              </w:rPr>
              <w:t>325,000</w:t>
            </w:r>
          </w:p>
        </w:tc>
        <w:tc>
          <w:tcPr>
            <w:tcW w:w="1060" w:type="dxa"/>
            <w:vAlign w:val="bottom"/>
          </w:tcPr>
          <w:p>
            <w:pPr>
              <w:spacing w:after="0"/>
              <w:rPr>
                <w:sz w:val="16"/>
                <w:szCs w:val="16"/>
                <w:color w:val="auto"/>
              </w:rPr>
            </w:pPr>
          </w:p>
        </w:tc>
      </w:tr>
      <w:tr>
        <w:trPr>
          <w:trHeight w:val="188"/>
        </w:trPr>
        <w:tc>
          <w:tcPr>
            <w:tcW w:w="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rPr>
              <w:t>WMECO</w:t>
            </w:r>
          </w:p>
        </w:tc>
        <w:tc>
          <w:tcPr>
            <w:tcW w:w="2940" w:type="dxa"/>
            <w:vAlign w:val="bottom"/>
          </w:tcPr>
          <w:p>
            <w:pPr>
              <w:jc w:val="right"/>
              <w:ind w:right="1879"/>
              <w:spacing w:after="0"/>
              <w:rPr>
                <w:sz w:val="20"/>
                <w:szCs w:val="20"/>
                <w:color w:val="auto"/>
              </w:rPr>
            </w:pPr>
            <w:r>
              <w:rPr>
                <w:rFonts w:ascii="Courier New" w:cs="Courier New" w:eastAsia="Courier New" w:hAnsi="Courier New"/>
                <w:sz w:val="16"/>
                <w:szCs w:val="16"/>
                <w:color w:val="auto"/>
              </w:rPr>
              <w:t>60,000</w:t>
            </w:r>
          </w:p>
        </w:tc>
        <w:tc>
          <w:tcPr>
            <w:tcW w:w="1060" w:type="dxa"/>
            <w:vAlign w:val="bottom"/>
          </w:tcPr>
          <w:p>
            <w:pPr>
              <w:spacing w:after="0"/>
              <w:rPr>
                <w:sz w:val="16"/>
                <w:szCs w:val="16"/>
                <w:color w:val="auto"/>
              </w:rPr>
            </w:pPr>
          </w:p>
        </w:tc>
      </w:tr>
      <w:tr>
        <w:trPr>
          <w:trHeight w:val="188"/>
        </w:trPr>
        <w:tc>
          <w:tcPr>
            <w:tcW w:w="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rPr>
              <w:t>PSNH</w:t>
            </w:r>
          </w:p>
        </w:tc>
        <w:tc>
          <w:tcPr>
            <w:tcW w:w="2940" w:type="dxa"/>
            <w:vAlign w:val="bottom"/>
          </w:tcPr>
          <w:p>
            <w:pPr>
              <w:jc w:val="right"/>
              <w:ind w:right="1879"/>
              <w:spacing w:after="0"/>
              <w:rPr>
                <w:sz w:val="20"/>
                <w:szCs w:val="20"/>
                <w:color w:val="auto"/>
              </w:rPr>
            </w:pPr>
            <w:r>
              <w:rPr>
                <w:rFonts w:ascii="Courier New" w:cs="Courier New" w:eastAsia="Courier New" w:hAnsi="Courier New"/>
                <w:sz w:val="16"/>
                <w:szCs w:val="16"/>
                <w:color w:val="auto"/>
              </w:rPr>
              <w:t>175,000</w:t>
            </w:r>
          </w:p>
        </w:tc>
        <w:tc>
          <w:tcPr>
            <w:tcW w:w="1060" w:type="dxa"/>
            <w:vAlign w:val="bottom"/>
          </w:tcPr>
          <w:p>
            <w:pPr>
              <w:spacing w:after="0"/>
              <w:rPr>
                <w:sz w:val="16"/>
                <w:szCs w:val="16"/>
                <w:color w:val="auto"/>
              </w:rPr>
            </w:pPr>
          </w:p>
        </w:tc>
      </w:tr>
      <w:tr>
        <w:trPr>
          <w:trHeight w:val="188"/>
        </w:trPr>
        <w:tc>
          <w:tcPr>
            <w:tcW w:w="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rPr>
              <w:t>HWP</w:t>
            </w:r>
          </w:p>
        </w:tc>
        <w:tc>
          <w:tcPr>
            <w:tcW w:w="2940" w:type="dxa"/>
            <w:vAlign w:val="bottom"/>
          </w:tcPr>
          <w:p>
            <w:pPr>
              <w:jc w:val="right"/>
              <w:ind w:right="1879"/>
              <w:spacing w:after="0"/>
              <w:rPr>
                <w:sz w:val="20"/>
                <w:szCs w:val="20"/>
                <w:color w:val="auto"/>
              </w:rPr>
            </w:pPr>
            <w:r>
              <w:rPr>
                <w:rFonts w:ascii="Courier New" w:cs="Courier New" w:eastAsia="Courier New" w:hAnsi="Courier New"/>
                <w:sz w:val="16"/>
                <w:szCs w:val="16"/>
                <w:color w:val="auto"/>
              </w:rPr>
              <w:t>5,000</w:t>
            </w:r>
          </w:p>
        </w:tc>
        <w:tc>
          <w:tcPr>
            <w:tcW w:w="1060" w:type="dxa"/>
            <w:vAlign w:val="bottom"/>
          </w:tcPr>
          <w:p>
            <w:pPr>
              <w:spacing w:after="0"/>
              <w:rPr>
                <w:sz w:val="16"/>
                <w:szCs w:val="16"/>
                <w:color w:val="auto"/>
              </w:rPr>
            </w:pPr>
          </w:p>
        </w:tc>
      </w:tr>
      <w:tr>
        <w:trPr>
          <w:trHeight w:val="188"/>
        </w:trPr>
        <w:tc>
          <w:tcPr>
            <w:tcW w:w="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rPr>
              <w:t>NNECO</w:t>
            </w:r>
          </w:p>
        </w:tc>
        <w:tc>
          <w:tcPr>
            <w:tcW w:w="2940" w:type="dxa"/>
            <w:vAlign w:val="bottom"/>
          </w:tcPr>
          <w:p>
            <w:pPr>
              <w:jc w:val="right"/>
              <w:ind w:right="1879"/>
              <w:spacing w:after="0"/>
              <w:rPr>
                <w:sz w:val="20"/>
                <w:szCs w:val="20"/>
                <w:color w:val="auto"/>
              </w:rPr>
            </w:pPr>
            <w:r>
              <w:rPr>
                <w:rFonts w:ascii="Courier New" w:cs="Courier New" w:eastAsia="Courier New" w:hAnsi="Courier New"/>
                <w:sz w:val="16"/>
                <w:szCs w:val="16"/>
                <w:color w:val="auto"/>
              </w:rPr>
              <w:t>50,000</w:t>
            </w:r>
          </w:p>
        </w:tc>
        <w:tc>
          <w:tcPr>
            <w:tcW w:w="1060" w:type="dxa"/>
            <w:vAlign w:val="bottom"/>
          </w:tcPr>
          <w:p>
            <w:pPr>
              <w:spacing w:after="0"/>
              <w:rPr>
                <w:sz w:val="16"/>
                <w:szCs w:val="16"/>
                <w:color w:val="auto"/>
              </w:rPr>
            </w:pPr>
          </w:p>
        </w:tc>
      </w:tr>
      <w:tr>
        <w:trPr>
          <w:trHeight w:val="188"/>
        </w:trPr>
        <w:tc>
          <w:tcPr>
            <w:tcW w:w="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rPr>
              <w:t>RRR</w:t>
            </w:r>
          </w:p>
        </w:tc>
        <w:tc>
          <w:tcPr>
            <w:tcW w:w="2940" w:type="dxa"/>
            <w:vAlign w:val="bottom"/>
          </w:tcPr>
          <w:p>
            <w:pPr>
              <w:jc w:val="right"/>
              <w:ind w:right="1879"/>
              <w:spacing w:after="0"/>
              <w:rPr>
                <w:sz w:val="20"/>
                <w:szCs w:val="20"/>
                <w:color w:val="auto"/>
              </w:rPr>
            </w:pPr>
            <w:r>
              <w:rPr>
                <w:rFonts w:ascii="Courier New" w:cs="Courier New" w:eastAsia="Courier New" w:hAnsi="Courier New"/>
                <w:sz w:val="16"/>
                <w:szCs w:val="16"/>
                <w:color w:val="auto"/>
              </w:rPr>
              <w:t>22,000</w:t>
            </w:r>
          </w:p>
        </w:tc>
        <w:tc>
          <w:tcPr>
            <w:tcW w:w="1060" w:type="dxa"/>
            <w:vAlign w:val="bottom"/>
          </w:tcPr>
          <w:p>
            <w:pPr>
              <w:spacing w:after="0"/>
              <w:rPr>
                <w:sz w:val="16"/>
                <w:szCs w:val="16"/>
                <w:color w:val="auto"/>
              </w:rPr>
            </w:pPr>
          </w:p>
        </w:tc>
      </w:tr>
      <w:tr>
        <w:trPr>
          <w:trHeight w:val="188"/>
        </w:trPr>
        <w:tc>
          <w:tcPr>
            <w:tcW w:w="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94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6"/>
                <w:szCs w:val="16"/>
                <w:color w:val="auto"/>
              </w:rPr>
            </w:pPr>
          </w:p>
        </w:tc>
      </w:tr>
      <w:tr>
        <w:trPr>
          <w:trHeight w:val="188"/>
        </w:trPr>
        <w:tc>
          <w:tcPr>
            <w:tcW w:w="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rPr>
              <w:t>SUM</w:t>
            </w:r>
          </w:p>
        </w:tc>
        <w:tc>
          <w:tcPr>
            <w:tcW w:w="2940" w:type="dxa"/>
            <w:vAlign w:val="bottom"/>
          </w:tcPr>
          <w:p>
            <w:pPr>
              <w:jc w:val="right"/>
              <w:ind w:right="1879"/>
              <w:spacing w:after="0"/>
              <w:rPr>
                <w:sz w:val="20"/>
                <w:szCs w:val="20"/>
                <w:color w:val="auto"/>
              </w:rPr>
            </w:pPr>
            <w:r>
              <w:rPr>
                <w:rFonts w:ascii="Courier New" w:cs="Courier New" w:eastAsia="Courier New" w:hAnsi="Courier New"/>
                <w:sz w:val="16"/>
                <w:szCs w:val="16"/>
                <w:color w:val="auto"/>
              </w:rPr>
              <w:t>787,000</w:t>
            </w:r>
          </w:p>
        </w:tc>
        <w:tc>
          <w:tcPr>
            <w:tcW w:w="1060" w:type="dxa"/>
            <w:vAlign w:val="bottom"/>
          </w:tcPr>
          <w:p>
            <w:pPr>
              <w:spacing w:after="0"/>
              <w:rPr>
                <w:sz w:val="16"/>
                <w:szCs w:val="16"/>
                <w:color w:val="auto"/>
              </w:rPr>
            </w:pPr>
          </w:p>
        </w:tc>
      </w:tr>
      <w:tr>
        <w:trPr>
          <w:trHeight w:val="188"/>
        </w:trPr>
        <w:tc>
          <w:tcPr>
            <w:tcW w:w="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w w:val="99"/>
              </w:rPr>
              <w:t>(less currently</w:t>
            </w:r>
          </w:p>
        </w:tc>
        <w:tc>
          <w:tcPr>
            <w:tcW w:w="29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outstanding)</w:t>
            </w:r>
          </w:p>
        </w:tc>
        <w:tc>
          <w:tcPr>
            <w:tcW w:w="2940" w:type="dxa"/>
            <w:vAlign w:val="bottom"/>
          </w:tcPr>
          <w:p>
            <w:pPr>
              <w:jc w:val="right"/>
              <w:ind w:right="1879"/>
              <w:spacing w:after="0"/>
              <w:rPr>
                <w:sz w:val="20"/>
                <w:szCs w:val="20"/>
                <w:color w:val="auto"/>
              </w:rPr>
            </w:pPr>
            <w:r>
              <w:rPr>
                <w:rFonts w:ascii="Courier New" w:cs="Courier New" w:eastAsia="Courier New" w:hAnsi="Courier New"/>
                <w:sz w:val="16"/>
                <w:szCs w:val="16"/>
                <w:color w:val="auto"/>
              </w:rPr>
              <w:t>302,500</w:t>
            </w:r>
          </w:p>
        </w:tc>
        <w:tc>
          <w:tcPr>
            <w:tcW w:w="1060" w:type="dxa"/>
            <w:vAlign w:val="bottom"/>
          </w:tcPr>
          <w:p>
            <w:pPr>
              <w:spacing w:after="0"/>
              <w:rPr>
                <w:sz w:val="16"/>
                <w:szCs w:val="16"/>
                <w:color w:val="auto"/>
              </w:rPr>
            </w:pPr>
          </w:p>
        </w:tc>
      </w:tr>
      <w:tr>
        <w:trPr>
          <w:trHeight w:val="188"/>
        </w:trPr>
        <w:tc>
          <w:tcPr>
            <w:tcW w:w="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94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6"/>
                <w:szCs w:val="16"/>
                <w:color w:val="auto"/>
              </w:rPr>
            </w:pPr>
          </w:p>
        </w:tc>
      </w:tr>
      <w:tr>
        <w:trPr>
          <w:trHeight w:val="188"/>
        </w:trPr>
        <w:tc>
          <w:tcPr>
            <w:tcW w:w="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940" w:type="dxa"/>
            <w:vAlign w:val="bottom"/>
          </w:tcPr>
          <w:p>
            <w:pPr>
              <w:jc w:val="right"/>
              <w:ind w:right="1879"/>
              <w:spacing w:after="0"/>
              <w:rPr>
                <w:sz w:val="20"/>
                <w:szCs w:val="20"/>
                <w:color w:val="auto"/>
              </w:rPr>
            </w:pPr>
            <w:r>
              <w:rPr>
                <w:rFonts w:ascii="Courier New" w:cs="Courier New" w:eastAsia="Courier New" w:hAnsi="Courier New"/>
                <w:sz w:val="16"/>
                <w:szCs w:val="16"/>
                <w:color w:val="auto"/>
              </w:rPr>
              <w:t>$484,500</w:t>
            </w:r>
          </w:p>
        </w:tc>
        <w:tc>
          <w:tcPr>
            <w:tcW w:w="1060" w:type="dxa"/>
            <w:vAlign w:val="bottom"/>
          </w:tcPr>
          <w:p>
            <w:pPr>
              <w:spacing w:after="0"/>
              <w:rPr>
                <w:sz w:val="16"/>
                <w:szCs w:val="16"/>
                <w:color w:val="auto"/>
              </w:rPr>
            </w:pPr>
          </w:p>
        </w:tc>
      </w:tr>
      <w:tr>
        <w:trPr>
          <w:trHeight w:val="376"/>
        </w:trPr>
        <w:tc>
          <w:tcPr>
            <w:tcW w:w="44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OTHER INTEREST EXPENSE</w:t>
            </w:r>
          </w:p>
        </w:tc>
        <w:tc>
          <w:tcPr>
            <w:tcW w:w="1520" w:type="dxa"/>
            <w:vAlign w:val="bottom"/>
          </w:tcPr>
          <w:p>
            <w:pPr>
              <w:spacing w:after="0"/>
              <w:rPr>
                <w:sz w:val="24"/>
                <w:szCs w:val="24"/>
                <w:color w:val="auto"/>
              </w:rPr>
            </w:pPr>
          </w:p>
        </w:tc>
        <w:tc>
          <w:tcPr>
            <w:tcW w:w="29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37,549</w:t>
            </w:r>
          </w:p>
        </w:tc>
        <w:tc>
          <w:tcPr>
            <w:tcW w:w="1060" w:type="dxa"/>
            <w:vAlign w:val="bottom"/>
          </w:tcPr>
          <w:p>
            <w:pPr>
              <w:spacing w:after="0"/>
              <w:rPr>
                <w:sz w:val="24"/>
                <w:szCs w:val="24"/>
                <w:color w:val="auto"/>
              </w:rPr>
            </w:pPr>
          </w:p>
        </w:tc>
      </w:tr>
      <w:tr>
        <w:trPr>
          <w:trHeight w:val="188"/>
        </w:trPr>
        <w:tc>
          <w:tcPr>
            <w:tcW w:w="440" w:type="dxa"/>
            <w:vAlign w:val="bottom"/>
          </w:tcPr>
          <w:p>
            <w:pPr>
              <w:spacing w:after="0"/>
              <w:rPr>
                <w:sz w:val="16"/>
                <w:szCs w:val="16"/>
                <w:color w:val="auto"/>
              </w:rPr>
            </w:pPr>
          </w:p>
        </w:tc>
        <w:tc>
          <w:tcPr>
            <w:tcW w:w="3120" w:type="dxa"/>
            <w:vAlign w:val="bottom"/>
          </w:tcPr>
          <w:p>
            <w:pPr>
              <w:ind w:left="1020"/>
              <w:spacing w:after="0"/>
              <w:rPr>
                <w:sz w:val="20"/>
                <w:szCs w:val="20"/>
                <w:color w:val="auto"/>
              </w:rPr>
            </w:pPr>
            <w:r>
              <w:rPr>
                <w:rFonts w:ascii="Courier New" w:cs="Courier New" w:eastAsia="Courier New" w:hAnsi="Courier New"/>
                <w:sz w:val="16"/>
                <w:szCs w:val="16"/>
                <w:color w:val="auto"/>
              </w:rPr>
              <w:t>ACCRUED INTEREST</w:t>
            </w:r>
          </w:p>
        </w:tc>
        <w:tc>
          <w:tcPr>
            <w:tcW w:w="15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37,549</w:t>
            </w:r>
          </w:p>
        </w:tc>
      </w:tr>
      <w:tr>
        <w:trPr>
          <w:trHeight w:val="376"/>
        </w:trPr>
        <w:tc>
          <w:tcPr>
            <w:tcW w:w="8020" w:type="dxa"/>
            <w:vAlign w:val="bottom"/>
            <w:gridSpan w:val="4"/>
          </w:tcPr>
          <w:p>
            <w:pPr>
              <w:jc w:val="right"/>
              <w:ind w:right="419"/>
              <w:spacing w:after="0"/>
              <w:rPr>
                <w:sz w:val="20"/>
                <w:szCs w:val="20"/>
                <w:color w:val="auto"/>
              </w:rPr>
            </w:pPr>
            <w:r>
              <w:rPr>
                <w:rFonts w:ascii="Courier New" w:cs="Courier New" w:eastAsia="Courier New" w:hAnsi="Courier New"/>
                <w:sz w:val="16"/>
                <w:szCs w:val="16"/>
                <w:color w:val="auto"/>
              </w:rPr>
              <w:t>To record the interest expense on the additional proposed borrowing at Prime:</w:t>
            </w:r>
          </w:p>
        </w:tc>
        <w:tc>
          <w:tcPr>
            <w:tcW w:w="1060" w:type="dxa"/>
            <w:vAlign w:val="bottom"/>
          </w:tcPr>
          <w:p>
            <w:pPr>
              <w:spacing w:after="0"/>
              <w:rPr>
                <w:sz w:val="24"/>
                <w:szCs w:val="24"/>
                <w:color w:val="auto"/>
              </w:rPr>
            </w:pPr>
          </w:p>
        </w:tc>
      </w:tr>
      <w:tr>
        <w:trPr>
          <w:trHeight w:val="188"/>
        </w:trPr>
        <w:tc>
          <w:tcPr>
            <w:tcW w:w="440" w:type="dxa"/>
            <w:vAlign w:val="bottom"/>
          </w:tcPr>
          <w:p>
            <w:pPr>
              <w:spacing w:after="0"/>
              <w:rPr>
                <w:sz w:val="16"/>
                <w:szCs w:val="16"/>
                <w:color w:val="auto"/>
              </w:rPr>
            </w:pPr>
          </w:p>
        </w:tc>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rPr>
              <w:t>$484,500</w:t>
            </w:r>
          </w:p>
        </w:tc>
        <w:tc>
          <w:tcPr>
            <w:tcW w:w="1520" w:type="dxa"/>
            <w:vAlign w:val="bottom"/>
          </w:tcPr>
          <w:p>
            <w:pPr>
              <w:ind w:left="740"/>
              <w:spacing w:after="0"/>
              <w:rPr>
                <w:sz w:val="20"/>
                <w:szCs w:val="20"/>
                <w:color w:val="auto"/>
              </w:rPr>
            </w:pPr>
            <w:r>
              <w:rPr>
                <w:rFonts w:ascii="Courier New" w:cs="Courier New" w:eastAsia="Courier New" w:hAnsi="Courier New"/>
                <w:sz w:val="16"/>
                <w:szCs w:val="16"/>
                <w:color w:val="auto"/>
              </w:rPr>
              <w:t>x</w:t>
            </w:r>
          </w:p>
        </w:tc>
        <w:tc>
          <w:tcPr>
            <w:tcW w:w="2940" w:type="dxa"/>
            <w:vAlign w:val="bottom"/>
          </w:tcPr>
          <w:p>
            <w:pPr>
              <w:jc w:val="right"/>
              <w:ind w:right="1679"/>
              <w:spacing w:after="0"/>
              <w:rPr>
                <w:sz w:val="20"/>
                <w:szCs w:val="20"/>
                <w:color w:val="auto"/>
              </w:rPr>
            </w:pPr>
            <w:r>
              <w:rPr>
                <w:rFonts w:ascii="Courier New" w:cs="Courier New" w:eastAsia="Courier New" w:hAnsi="Courier New"/>
                <w:sz w:val="16"/>
                <w:szCs w:val="16"/>
                <w:color w:val="auto"/>
              </w:rPr>
              <w:t>7.75%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37,549</w:t>
            </w:r>
          </w:p>
        </w:tc>
      </w:tr>
      <w:tr>
        <w:trPr>
          <w:trHeight w:val="564"/>
        </w:trPr>
        <w:tc>
          <w:tcPr>
            <w:tcW w:w="44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ACCRUED TAXES</w:t>
            </w:r>
          </w:p>
        </w:tc>
        <w:tc>
          <w:tcPr>
            <w:tcW w:w="1520" w:type="dxa"/>
            <w:vAlign w:val="bottom"/>
          </w:tcPr>
          <w:p>
            <w:pPr>
              <w:spacing w:after="0"/>
              <w:rPr>
                <w:sz w:val="24"/>
                <w:szCs w:val="24"/>
                <w:color w:val="auto"/>
              </w:rPr>
            </w:pPr>
          </w:p>
        </w:tc>
        <w:tc>
          <w:tcPr>
            <w:tcW w:w="29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15,020</w:t>
            </w:r>
          </w:p>
        </w:tc>
        <w:tc>
          <w:tcPr>
            <w:tcW w:w="1060" w:type="dxa"/>
            <w:vAlign w:val="bottom"/>
          </w:tcPr>
          <w:p>
            <w:pPr>
              <w:spacing w:after="0"/>
              <w:rPr>
                <w:sz w:val="24"/>
                <w:szCs w:val="24"/>
                <w:color w:val="auto"/>
              </w:rPr>
            </w:pPr>
          </w:p>
        </w:tc>
      </w:tr>
      <w:tr>
        <w:trPr>
          <w:trHeight w:val="188"/>
        </w:trPr>
        <w:tc>
          <w:tcPr>
            <w:tcW w:w="440" w:type="dxa"/>
            <w:vAlign w:val="bottom"/>
          </w:tcPr>
          <w:p>
            <w:pPr>
              <w:spacing w:after="0"/>
              <w:rPr>
                <w:sz w:val="16"/>
                <w:szCs w:val="16"/>
                <w:color w:val="auto"/>
              </w:rPr>
            </w:pPr>
          </w:p>
        </w:tc>
        <w:tc>
          <w:tcPr>
            <w:tcW w:w="46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FEDERAL AND STATE INCOME TAX EXPENSE</w:t>
            </w:r>
          </w:p>
        </w:tc>
        <w:tc>
          <w:tcPr>
            <w:tcW w:w="2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15,020</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record the reduction in Federal and State income taxes due to the higher interest and fee expenses:</w:t>
      </w:r>
    </w:p>
    <w:p>
      <w:pPr>
        <w:spacing w:after="0" w:line="7" w:lineRule="exact"/>
        <w:rPr>
          <w:sz w:val="20"/>
          <w:szCs w:val="20"/>
          <w:color w:val="auto"/>
        </w:rPr>
      </w:pPr>
    </w:p>
    <w:p>
      <w:pPr>
        <w:ind w:left="2840"/>
        <w:spacing w:after="0"/>
        <w:tabs>
          <w:tab w:leader="none" w:pos="4280" w:val="left"/>
          <w:tab w:leader="none" w:pos="5260" w:val="left"/>
          <w:tab w:leader="none" w:pos="6140" w:val="left"/>
          <w:tab w:leader="none" w:pos="8480" w:val="left"/>
        </w:tabs>
        <w:rPr>
          <w:sz w:val="20"/>
          <w:szCs w:val="20"/>
          <w:color w:val="auto"/>
        </w:rPr>
      </w:pPr>
      <w:r>
        <w:rPr>
          <w:rFonts w:ascii="Courier New" w:cs="Courier New" w:eastAsia="Courier New" w:hAnsi="Courier New"/>
          <w:sz w:val="16"/>
          <w:szCs w:val="16"/>
          <w:color w:val="auto"/>
        </w:rPr>
        <w:t>$37,549</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40.00%</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15,020</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The prime rate and tax rate reflected above represent the rates in effect as of the October 3, 1994 filing date.</w:t>
      </w:r>
    </w:p>
    <w:sectPr>
      <w:pgSz w:w="11900" w:h="16838" w:orient="portrait"/>
      <w:cols w:equalWidth="0" w:num="1">
        <w:col w:w="11520"/>
      </w:cols>
      <w:pgMar w:left="240" w:top="49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5"/>
    </w:lvl>
  </w:abstractNum>
  <w:abstractNum w:abstractNumId="5">
    <w:nsid w:val="109CF92E"/>
    <w:multiLevelType w:val="hybridMultilevel"/>
    <w:lvl w:ilvl="0">
      <w:lvlJc w:val="left"/>
      <w:lvlText w:val="F"/>
      <w:numFmt w:val="bullet"/>
      <w:start w:val="1"/>
    </w:lvl>
  </w:abstractNum>
  <w:abstractNum w:abstractNumId="6">
    <w:nsid w:val="DED7263"/>
    <w:multiLevelType w:val="hybridMultilevel"/>
    <w:lvl w:ilvl="0">
      <w:lvlJc w:val="left"/>
      <w:lvlText w:val="K"/>
      <w:numFmt w:val="bullet"/>
      <w:start w:val="1"/>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lowerLetter"/>
      <w:start w:val="1"/>
    </w:lvl>
    <w:lvl w:ilvl="1">
      <w:lvlJc w:val="left"/>
      <w:lvlText w:val="%2."/>
      <w:numFmt w:val="decimal"/>
      <w:start w:val="1"/>
    </w:lvl>
  </w:abstractNum>
  <w:abstractNum w:abstractNumId="10">
    <w:nsid w:val="6B68079A"/>
    <w:multiLevelType w:val="hybridMultilevel"/>
    <w:lvl w:ilvl="0">
      <w:lvlJc w:val="left"/>
      <w:lvlText w:val="%1."/>
      <w:numFmt w:val="decimal"/>
      <w:start w:val="1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4"/>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upperLetter"/>
      <w:start w:val="35"/>
    </w:lvl>
  </w:abstractNum>
  <w:abstractNum w:abstractNumId="16">
    <w:nsid w:val="7C83E458"/>
    <w:multiLevelType w:val="hybridMultilevel"/>
    <w:lvl w:ilvl="0">
      <w:lvlJc w:val="left"/>
      <w:lvlText w:val="%1."/>
      <w:numFmt w:val="decimal"/>
      <w:start w:val="4"/>
    </w:lvl>
  </w:abstractNum>
  <w:abstractNum w:abstractNumId="17">
    <w:nsid w:val="257130A3"/>
    <w:multiLevelType w:val="hybridMultilevel"/>
    <w:lvl w:ilvl="0">
      <w:lvlJc w:val="left"/>
      <w:lvlText w:val="(%1)"/>
      <w:numFmt w:val="lowerLetter"/>
      <w:start w:val="6"/>
    </w:lvl>
    <w:lvl w:ilvl="1">
      <w:lvlJc w:val="left"/>
      <w:lvlText w:val="%2."/>
      <w:numFmt w:val="decimal"/>
      <w:start w:val="1"/>
    </w:lvl>
  </w:abstractNum>
  <w:abstractNum w:abstractNumId="18">
    <w:nsid w:val="62BBD95A"/>
    <w:multiLevelType w:val="hybridMultilevel"/>
    <w:lvl w:ilvl="0">
      <w:lvlJc w:val="left"/>
      <w:lvlText w:val="%1."/>
      <w:numFmt w:val="decimal"/>
      <w:start w:val="3"/>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2019-12-13T05:45:43Z</dcterms:created>
  <dcterms:modified xsi:type="dcterms:W3CDTF">2019-12-13T05:45:43Z</dcterms:modified>
</cp:coreProperties>
</file>