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EVERSOURCE ENERGY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001-05324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04-2147929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Cadwell Drive</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Springfield, Massachusetts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01104</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286-5000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$5.00 par value per share</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ES</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18, 2024, Eversource Energy issued (i) $700,000,000 aggregate principal amount of its 5.85% Senior Notes, Series FF, Due 2031 (the “2031 Notes”) and (ii) $700,000,000 aggregate principal amount of its 5.95% Senior Notes, Series GG, Due 2034 (the “2034 Notes” and together with the 2031 Notes, the “Notes”), pursuant to an Underwriting Agreement, dated April 15, 2024, among Eversource Energy and Citigroup Global Markets Inc., J.P. Morgan Securities LLC, Morgan Stanley &amp; Co. LLC, MUFG Securities Americas Inc., TD Securities (USA) LLC and U.S. Bancorp Investments, Inc., as representatives of the underwriters named therein (the “Underwriting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are Eversource Energy’s unsecured obligations and were issued under the Twenty-Second Supplemental Indenture, dated April 1, 2024, between Eversource Energy and The Bank of New York Mellon Trust Company, N.A. (the “Twenty-Second Supplemental Indenture”), supplementing the Indenture between Eversource Energy and The Bank of New York Mellon Trust Company, N.A. (as successor trustee), dated as of April 1, 2002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on the 2031 Notes is payable semi-annually in arrears on April 15 and October 15 of each year, beginning on October 15, 2024 and ending on the maturity date of the 2031 Notes. Interest on the 2034 Notes is payable semi-annually in arrears on January 15 and July 15 of each year, beginning on July 15, 2024 and ending on the maturity date of the 2034 Notes.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Underwriting Agreement, the Indenture and the Twenty-Second Supplemental Indenture do not purport to be complete and are qualified in their entirety by references to such documents. The Underwriting Agreement and the Twenty-Second Supplemental Indenture are filed hereto as Exhibits 1.1 and 4.1, respectively. The Indenture is filed as Exhibit A-3 to Eversource Energy’s 35-CERT, filed April 16, 2002 (File No. 070-09535).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opinion of Ropes &amp; Gray LLP relating to the validity of the Notes is filed as Exhibit 5.1 hereto.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6"/>
          </w:tcPr>
          <w:p>
            <w:pPr>
              <w:ind w:left="10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988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Exhibits.</w:t>
            </w:r>
          </w:p>
        </w:tc>
      </w:tr>
      <w:tr>
        <w:trPr>
          <w:trHeight w:val="410"/>
        </w:trPr>
        <w:tc>
          <w:tcPr>
            <w:tcW w:w="1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1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dated April 15, 2024, among Eversource Energy and the Underwriters named therein.</w:t>
            </w:r>
          </w:p>
        </w:tc>
      </w:tr>
      <w:tr>
        <w:trPr>
          <w:trHeight w:val="20"/>
        </w:trPr>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Twenty-Second Supplemental Indenture, dated as of April 1, 2024, between Eversource Energy and The Bank of New York Mellon</w:t>
            </w:r>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Trust Company, N.A., as Trustee.</w:t>
            </w:r>
          </w:p>
        </w:tc>
      </w:tr>
      <w:tr>
        <w:trPr>
          <w:trHeight w:val="20"/>
        </w:trPr>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6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the 2031 Notes (included as Exhibit A to the Twenty-Second Supplemental Indenture filed herewith as Exhibit 4.1).</w:t>
            </w:r>
          </w:p>
        </w:tc>
        <w:tc>
          <w:tcPr>
            <w:tcW w:w="92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the 2034 Notes (included as Exhibit B to the Twenty-Second Supplemental Indenture filed herewith as Exhibit 4.1).</w:t>
            </w:r>
          </w:p>
        </w:tc>
        <w:tc>
          <w:tcPr>
            <w:tcW w:w="92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opinion of Ropes &amp; Gray LLP relating to the validity of the Notes.</w:t>
            </w:r>
          </w:p>
        </w:tc>
        <w:tc>
          <w:tcPr>
            <w:tcW w:w="4620" w:type="dxa"/>
            <w:vAlign w:val="bottom"/>
            <w:gridSpan w:val="3"/>
          </w:tcPr>
          <w:p>
            <w:pPr>
              <w:spacing w:after="0"/>
              <w:rPr>
                <w:sz w:val="17"/>
                <w:szCs w:val="17"/>
                <w:color w:val="auto"/>
              </w:rPr>
            </w:pPr>
          </w:p>
        </w:tc>
      </w:tr>
      <w:tr>
        <w:trPr>
          <w:trHeight w:val="196"/>
        </w:trPr>
        <w:tc>
          <w:tcPr>
            <w:tcW w:w="1140" w:type="dxa"/>
            <w:vAlign w:val="bottom"/>
            <w:gridSpan w:val="5"/>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4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Ropes &amp; Gray LLP (included in Exhibit 5.1).</w:t>
            </w:r>
          </w:p>
        </w:tc>
        <w:tc>
          <w:tcPr>
            <w:tcW w:w="5780" w:type="dxa"/>
            <w:vAlign w:val="bottom"/>
            <w:gridSpan w:val="4"/>
          </w:tcPr>
          <w:p>
            <w:pPr>
              <w:spacing w:after="0"/>
              <w:rPr>
                <w:sz w:val="17"/>
                <w:szCs w:val="17"/>
                <w:color w:val="auto"/>
              </w:rPr>
            </w:pPr>
          </w:p>
        </w:tc>
      </w:tr>
      <w:tr>
        <w:trPr>
          <w:trHeight w:val="237"/>
        </w:trPr>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19"/>
                <w:szCs w:val="19"/>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EVERSOURCE ENERGY</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April 18, 2024</w:t>
            </w: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Emilie G. O’Neil</w:t>
            </w:r>
          </w:p>
        </w:tc>
      </w:tr>
      <w:tr>
        <w:trPr>
          <w:trHeight w:val="191"/>
        </w:trPr>
        <w:tc>
          <w:tcPr>
            <w:tcW w:w="3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Emilie G. O’Neil</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r>
      <w:tr>
        <w:trPr>
          <w:trHeight w:val="675"/>
        </w:trPr>
        <w:tc>
          <w:tcPr>
            <w:tcW w:w="3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5" w:lineRule="auto"/>
        <w:rPr>
          <w:sz w:val="20"/>
          <w:szCs w:val="20"/>
          <w:color w:val="auto"/>
        </w:rPr>
      </w:pPr>
      <w:r>
        <w:rPr>
          <w:rFonts w:ascii="Times New Roman" w:cs="Times New Roman" w:eastAsia="Times New Roman" w:hAnsi="Times New Roman"/>
          <w:sz w:val="18"/>
          <w:szCs w:val="18"/>
          <w:color w:val="auto"/>
        </w:rPr>
        <w:t>1585 Broadway,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05" w:lineRule="auto"/>
        <w:rPr>
          <w:sz w:val="20"/>
          <w:szCs w:val="20"/>
          <w:color w:val="auto"/>
        </w:rPr>
      </w:pPr>
      <w:r>
        <w:rPr>
          <w:rFonts w:ascii="Times New Roman" w:cs="Times New Roman" w:eastAsia="Times New Roman" w:hAnsi="Times New Roman"/>
          <w:sz w:val="18"/>
          <w:szCs w:val="18"/>
          <w:color w:val="auto"/>
        </w:rPr>
        <w:t>1221 Avenue of the Americas,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5" w:lineRule="auto"/>
        <w:rPr>
          <w:sz w:val="20"/>
          <w:szCs w:val="20"/>
          <w:color w:val="auto"/>
        </w:rPr>
      </w:pPr>
      <w:r>
        <w:rPr>
          <w:rFonts w:ascii="Times New Roman" w:cs="Times New Roman" w:eastAsia="Times New Roman" w:hAnsi="Times New Roman"/>
          <w:sz w:val="18"/>
          <w:szCs w:val="18"/>
          <w:color w:val="auto"/>
        </w:rPr>
        <w:t>1 Vanderbilt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N. Tryon Street, 26th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xml:space="preserve"> On the basis of the representations and warranties, and subject to the terms and conditions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Underwriters (defined below) shall purchase from Eversource Energy, a Massachusetts voluntary association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severally and not jointly, and the Company shall sell to the Underwriters, the principal amount of the Company’s 5.85% Senior Notes, Series FF,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and 5.95% Senior Notes, Series GG,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set forth opposite each name of the Underwriters in Schedule I hereto at the price specified in Schedule III hereto (the aggregate principal amount of the two tranches of notes described in Schedule I hereto are hereinafter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as used herein, shall be deemed to mean Citigroup Global Markets Inc.; J.P. Morgan Securities LLC; Morgan Stanley &amp; Co. LLC; MUFG Securities Americas Inc.; TD Securities (USA) LLC; and U.S. Bancorp Investments, Inc.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the other several persons, firms or corporations named in Schedule I hereto (including all substituted Underwriters under the provisions of Section 10 hereof). All obligations of the Underwriters hereunder are several and not joint.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Representations and Warranties of the Company and the Underwriters</w:t>
      </w:r>
      <w:r>
        <w:rPr>
          <w:rFonts w:ascii="Times New Roman" w:cs="Times New Roman" w:eastAsia="Times New Roman" w:hAnsi="Times New Roman"/>
          <w:sz w:val="18"/>
          <w:szCs w:val="18"/>
          <w:color w:val="auto"/>
        </w:rPr>
        <w:t>. (a) The Company represents and warrants to and agrees with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that:</w:t>
      </w:r>
    </w:p>
    <w:p>
      <w:pPr>
        <w:spacing w:after="0" w:line="20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A registration statement on Form S-3 (File No. 333-264278), relating to the Securities (x) has been prepared by the Company in conformity with the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color w:val="auto"/>
        </w:rPr>
        <w:t>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thereunder; (y) has been filed with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(z) is effective under the Securities Act. Copies of such registration statement and any amendment thereto have been delivered by the Company to the Representatives. As used in this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4:15 p.m. (New York City time) on the date of this Agreement;</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any date as of which any part of such registration statement relating to the Securities became, or is deemed to have become, effective under the Securities Act in accordance with Rule 430B of the Rules and Regulations;</w:t>
      </w:r>
    </w:p>
    <w:p>
      <w:pPr>
        <w:spacing w:after="0" w:line="15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prepared by or on behalf of the Company and approved by the Company or used or referred to by the Company in connection with the offering of the Securities;</w:t>
      </w:r>
    </w:p>
    <w:p>
      <w:pPr>
        <w:spacing w:after="0" w:line="171"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the prospectus relating to the Securities included in the Registration Statement, including any preliminary prospectus supplement thereto relating to the Securities, as filed with the Commission pursuant to Rule 424(b) of the Rules and Regulations;</w:t>
      </w:r>
    </w:p>
    <w:p>
      <w:pPr>
        <w:spacing w:after="0" w:line="171"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means, as of the Applicable Time, the most recent Preliminary Prospectus, together with each Issuer Free Writing Prospectus listed on Schedule II hereto;</w:t>
      </w:r>
    </w:p>
    <w:p>
      <w:pPr>
        <w:spacing w:after="0" w:line="15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prospectus relating to the Securities included in the Registration Statement, including any prospectus supplement thereto relating to the Securities, as filed with the Commission pursuant to Rule 424(b) of the Rules and Regulations; and</w:t>
      </w:r>
    </w:p>
    <w:p>
      <w:pPr>
        <w:spacing w:after="0" w:line="15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collectively, the various parts of such registration statement, each as amended as of the Effective Date for such part, including any Preliminary Prospectus or the Prospectus and all exhibits to such registration statement.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Any reference to any Preliminary Prospectus or the Prospectus shall be deemed to refer to and include any documents incorporated by reference therein pursuant to Form S-3 under the Securities Act as of the date of such Preliminary Prospectus or the Prospectus, as the case may be. Any reference to the “</w:t>
      </w:r>
      <w:r>
        <w:rPr>
          <w:rFonts w:ascii="Times New Roman" w:cs="Times New Roman" w:eastAsia="Times New Roman" w:hAnsi="Times New Roman"/>
          <w:sz w:val="18"/>
          <w:szCs w:val="18"/>
          <w:b w:val="1"/>
          <w:bCs w:val="1"/>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on or prior to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and any reference to any amendment to the Registration Statement shall be deemed to include any Annual Report on Form 10-K of the Company filed with the Commission pursuant to Section 13(a) or 15(d) of the Exchange Act after the Effective Date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against the Company or related to the offering has been instituted or threatened by the Commission.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(ii)             The Company was at the time of initial filing of the Registration Statement, has been at all relevant determination dates thereafter (as provided in clause (2) of the definition of “well-known seasoned issuer” in Rule 405 of the Rules and Regulations), is on the date hereof and will be on the Closing Date (as defined below) a “well-known seasoned issuer” (as defined in such Rule 405), including not having been an “ineligible issuer” (as defined in such Rule 405) at any such time or date. The Registration Statement is an “automatic shelf registration statement” (as defined in such Rule 405), was filed not earlier than the date that is three years prior to the Closing Date and the Company has not received from the Commission any notice pursuant to Rule 401(g)(2) of the Rules and Regulations objecting to use of the automatic shelf registration statement form and the Company has not otherwise ceased to be eligible to use the automatic shelf registration statement form.</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(iii)             The Registration Statement conformed and will conform in all material respects on the Effective Date and on the Closing Date, and any amendment to the Registration Statement filed after the date hereof will conform in all material respects when filed, to the requirements of the Securities Act and the Rules and Regulations. The Preliminary Prospectus conformed, and the Prospectus will conform, in all material respects when filed with the Commission pursuant to Rule 424(b) of the Rules and Regulations and on the Closing Date to the requirements of the Securities Act and the Rules and Regulations.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by any Underwriter through the Representatives specifically for inclusion therein, which information is specified in Section 8(g) hereof, except that the representations and warranties set forth in this paragraph do not apply to that part of the Registration Statement that constitutes the Statement of Eligibility and Qualification on Form T-1 under the Trust Indenture Act of 1939, as amended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 Act</w:t>
      </w:r>
      <w:r>
        <w:rPr>
          <w:rFonts w:ascii="Times New Roman" w:cs="Times New Roman" w:eastAsia="Times New Roman" w:hAnsi="Times New Roman"/>
          <w:sz w:val="18"/>
          <w:szCs w:val="18"/>
          <w:color w:val="auto"/>
        </w:rPr>
        <w:t>”), of The Bank of New York Mellon Trust Company, N.A.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The Prospectus will not, as of its date and on the Closing Date,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Prospectus in reliance upon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conformity with written information furnished to the Company by any Underwriter through the Representatives specifically for inclusion therein, which information is specified in Section 8(g) hereof.</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(vi)            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in order to make the statements therein, in the light of the circumstances under which they were made, not misleading.</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Pricing Disclosure Package in 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and in conformity with written information furnished to the Company by any Underwriter through the Representatives specifically for inclusion therein, which information is specified in Section 8(g) hereof.</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(viii)           Each Issuer Free Writing Prospectus conformed or will conform in all material respects to the requirements of the Securities Act and the Rules and Regulations on the date of first use, and the Company has complied with any filing requirements applicable to such Issuer Free Writing Prospectus pursuant to the Rules and Regulations. Except for each Issuer Free Writing Prospectus listed on Schedule II hereto (the use of which has been consented to by the Representatives), the Company has not made any offer relating to the Securities that would constitute an Issuer Free Writing Prospectus without the prior written consent of the Representatives. The Company has retained in accordance with the Rules and Regulations all Issuer Free Writing Prospectuses that were not required to be filed pursuant to the Rules and Regulations. Schedule II hereto includes a complete list of all Issuer Free Writing Prospectuses used in connection with the offering of the Securities.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(ix)             The Company has been duly formed, is validly existing as a Massachusetts voluntary association in good standing under the laws of the Commonwealth of Massachusetts, has the power and authority to own its property and to conduct its business as described in the Pricing Disclosure Package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The Company possesses such material certificates, authorizations, franchises or permits issued by the appropriate state or federal regulatory authorities or bodies as are necessary to conduct its business as currently conducted.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              Each majority-owned subsidiary of the Company has been duly incorporated or otherwise formed, is validly existing as a corporation or limited liability company, as applicable, in good standing under the laws of its jurisdiction of incorporation or formation, has the corporate or limited liability company power, as applicable, and authority to own its property and to conduct its business as described in the Pricing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common stock or membership interests of each subsidiary of the Company have been duly and validly authorized and issued, are fully paid and non-assessable and are owned directly by the Company, free and clear of all liens, encumbrances, equities or claims. Each subsidiary possesses such material certificates, authorizations, franchises or permits issued by the appropriate state or federal regulatory authorities or bodies as are necessary to conduct its business as currently conducted.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             The Company has all requisite corporate power and authority to execute, deliver and perform its obligations under this Agreement. This Agreement has been duly and validly authorized, executed and delivered by the Company, and is a valid and binding agreement of the Company, enforceable in accordance with its terms, subject to applicable bankruptcy, insolvency or similar laws affecting creditors’ rights generally and general principles of equity.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(xii)            The Indenture dated as of April 1, 2002 between the Company and the Trustee (as supplemented and previously amended by various supplemental indentures, including, by the Twenty Second Supplemental Indenture, dated as of April 1, 2024, establishing the terms of the Securities,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has been duly qualified under the Trust Indenture Act and has been duly authorized, executed and delivered by the Company and is a valid and binding agreement of the Company, enforceable in accordance with its terms, subject to applicable bankruptcy, insolvency or similar laws affecting creditors’ rights generally and general principles of equity.</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(xiii)            The Securities have been duly authorized and, when executed and authenticated in accordance with the provisions of the Indenture and delivered to and paid for by the Underwriters in accordance with the terms of this Agreement, will be entitled to the benefits of the Indenture, and will be valid and binding obligations of the Company, in each case enforceable in accordance with their respective terms, subject to applicable bankruptcy, insolvency or similar laws affecting creditors’ rights generally and general principles of equity.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(xiv)            The execution and delivery by the Company of, and the performance by the Company of its obligations under, this Agreement, the Indenture and the Securities will not contravene any provision of applicable law, rule or regulation or the Declaration of Trust of the Company or any agreement or other instrument binding upon the Company or any of its subsidiaries or any of their respective properties that is material to the Company and its subsidiaries, taken as a whole, or any judgment, order or decree of any governmental body, agency or court having jurisdiction over the Company or any of its subsidiaries or any of their respective properties, and no consent, approval, authorization or order of, or qualification with, any governmental body or agency is required for the performance by the Company of its obligations under this Agreement, the Indenture or the Securities, except such as have been obtained under the Securities Act and such as may be required by the securities or Blue Sky laws of the various states in connection with the offer and sale of the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Pricing Disclosure Package.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(xvi)           There are no legal or governmental proceedings pending, threatened or contemplated to which the Company or any of its subsidiaries is a party or to which any of the properties of the Company or any of its subsidiaries is subject that are required to be described in the Registration Statement or the Pricing Disclosure Package and are not so described or any statutes, regulations, contracts or other documents that are required to be described in the Registration Statement or the Pricing Disclosure Package or to be filed or incorporated by reference as exhibits to the Registration Statement that are not described, filed or incorporated as required.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(xvii)          Each Preliminary Prospectus filed as part of the registration statement as originally filed or as part of any amendment thereto, or filed pursuant to Rule 424 of the Rules and Regulations, complied when so filed in all material respects with the Securities Act and the Rules and Regulations.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(xviii)         The Company is not and, after giving effect to the offering and sale of the Securities and the application of the proceeds thereof as described in the Pricing Disclosure Package and the Prospectus, will not be an “investment company” as such term is defined in the Investment Company Act of 1940, as amended.</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(xix)            Except as disclosed in the Pricing Disclosure Package and the Prospectus, the Company and each of its subsidiaries (A)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(including, without limitation, any capital or operating expenditures required for clean-up, closure of properties or compliance with Environmental Laws or any permit, license or approval, any related constraints on operating activities and any potential liabilities to third parties), (B) has received all permits, licenses or other approvals required of it under applicable Environmental Laws to conduct its business and (C)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188"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(xx)            As of the date of the Company’s most recent certification pursuant to Section 302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the Company and each of its subsidiaries that is a reporting company under the Exchange Act (collectively, the “</w:t>
      </w:r>
      <w:r>
        <w:rPr>
          <w:rFonts w:ascii="Times New Roman" w:cs="Times New Roman" w:eastAsia="Times New Roman" w:hAnsi="Times New Roman"/>
          <w:sz w:val="18"/>
          <w:szCs w:val="18"/>
          <w:b w:val="1"/>
          <w:bCs w:val="1"/>
          <w:color w:val="auto"/>
        </w:rPr>
        <w:t>Reporting Companies</w:t>
      </w:r>
      <w:r>
        <w:rPr>
          <w:rFonts w:ascii="Times New Roman" w:cs="Times New Roman" w:eastAsia="Times New Roman" w:hAnsi="Times New Roman"/>
          <w:sz w:val="18"/>
          <w:szCs w:val="18"/>
          <w:color w:val="auto"/>
        </w:rPr>
        <w:t>”) maintain systems of internal accounting controls and processes sufficient to provide reasonable assurance that</w:t>
      </w:r>
    </w:p>
    <w:p>
      <w:pPr>
        <w:spacing w:after="0" w:line="1" w:lineRule="exact"/>
        <w:rPr>
          <w:sz w:val="20"/>
          <w:szCs w:val="20"/>
          <w:color w:val="auto"/>
        </w:rPr>
      </w:pPr>
    </w:p>
    <w:p>
      <w:pPr>
        <w:jc w:val="both"/>
        <w:ind w:left="4" w:hanging="4"/>
        <w:spacing w:after="0" w:line="251" w:lineRule="auto"/>
        <w:tabs>
          <w:tab w:leader="none" w:pos="2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and (iii) assets are safeguarded from loss or unauthorized use. The Reporting Companies evaluated the design and operation of their respective disclosure controls and procedures to determine whether they are effective in ensuring that the disclosure of required information is timely made in accordance with the Exchange Act and the rules and forms of the Commission. These evaluations were made under the supervision and with the participation of management, including the principal executive officers and principal financial officers of each of the Reporting Companies, within the 60-day period prior to the filing of the most recent Quarterly Report on Form 10-K. The principal executive officers and principal financial officers have concluded, based on their review, that the disclosure controls and procedures, as defined by Rules 13a-15(e) and 15d-15(e) under the Exchange Act, are effective to ensure that information required to be disclosed by each of the Reporting Companies in reports that it files under the Exchange Act is recorded, processed, summarized, and reported within the time periods specified in Commission rules and forms. No significant changes were made to the Reporting Companies’ internal controls or other factors that could significantly affect these controls subsequent to the date of their evaluation. The Company is not aware of any material weakness in its internal controls over financial reporting.</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(xxi)           The financial statements and the related notes thereto incorporated by reference in the Registration Statement, the Pricing Disclosure Package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supporting schedules included or incorporated by reference in the Registration Statement, the Pricing Disclosure Package and the Prospectus present fairly the information required to be stated therein. The other financial information included or incorporated by reference in the Registration Statement, the Pricing Disclosure Package and the Prospectus has been derived from the accounting records of the Company and its subsidiaries and presents fairly the information shown thereby. No other financial statements or schedules of any other person are required by the Securities Act or the Exchange Act to be included in or incorporated by reference in the Registration Statement, the Pricing Disclosure Package, or the Prospectus.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(xxii)           Deloitte and Touche LLP, who have audited certain financial statements of the Company and its subsidiaries included or incorporated by reference in the Registration Statement, the Pricing Disclosure Package and the Prospectus, are independent registered public accountants with respect to the Company and its subsidiaries as required by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(xxiii)          The Company has not distributed and, prior to the later to occur of the Closing Date and completion of the distribution of the Securities, will not distribute any offering material in connection with the offering and sale of the Securities other than the Registration Statement, any Preliminary Prospectus, the Prospectus and each Issuer Free Writing Prospectus set forth on Schedule II hereto.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(xxiv)         Neither the Company nor any of its subsidiaries nor, to the knowledge of the Company, any director, officer, agent, employee or affiliate of the Company or any of its subsidiaries (a) is, or is controlled or 50% or more owned by or is acting on behalf of, an individual or entity that is currently the subject of any sanctions administered or enforced by the United States (including any administered or enforced by the Office of Foreign Assets Control of the U.S. Department of the Treasury (OFAC), the U.S. Department of State or the Bureau of Industry and Security of the U.S. Department of Commerce), the United Nations Security Council, the European Union, the United Kingdom (including sanctions administered or enforced by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(b) is located, organized or resident in a country or territory that is, or whose government is, the subject of Sanctions that broadly prohibit dealings with that country or territory, including, without limitation, Cuba, Iran, North Korea, Russia, Syria, the Crimea Region of Ukraine, the so-called Donetsk People’s Republic, the so-called Luhansk People’s Republic, the non-government controlled areas of the Kherson and Zaporizhzhia Regions of Ukraine, or any other Covered Region of Ukraine identified pursuant to Executive Order 14065 or (c)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(xxv)          Neither the Company nor any of its subsidiaries (a) is under investigation by any governmental body for, or has been charged with, or convicted of, money laundering, drug trafficking, terrorist-related activities or other money laundering predicate crimes under any applicable law (collectively,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(b) has been assessed civil penalties under any Anti-Money Laundering Laws or</w:t>
      </w:r>
    </w:p>
    <w:p>
      <w:pPr>
        <w:spacing w:after="0" w:line="1" w:lineRule="exact"/>
        <w:rPr>
          <w:sz w:val="20"/>
          <w:szCs w:val="20"/>
          <w:color w:val="auto"/>
        </w:rPr>
      </w:pPr>
    </w:p>
    <w:p>
      <w:pPr>
        <w:jc w:val="both"/>
        <w:ind w:left="660" w:hanging="4"/>
        <w:spacing w:after="0" w:line="255" w:lineRule="auto"/>
        <w:tabs>
          <w:tab w:leader="none" w:pos="9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any of its funds seized or forfeited in an action under any Anti-Money Laundering Laws. The Company and its subsidiaries have taken reasonable measures appropriate to the circumstances (in any event as required by applicable law), to ensure that each of them is and will continue to be in compliance with all applicable current and future Anti-Money Laundering Laws.</w:t>
      </w:r>
    </w:p>
    <w:p>
      <w:pPr>
        <w:spacing w:after="0" w:line="18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(xxvi)         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and its subsidiaries have instituted and maintain policies and procedures to ensure compliance therewith. No part of the proceeds of the offering of the Securities hereunder will be used, directly or indirectly, in violation of the Foreign Corrupt Practices Act of 1977 or the U.K. Bribery Act 2010, each as may be amended, or any similar law of any other relevant jurisdiction, or the rules or regulations thereunder.</w:t>
      </w:r>
    </w:p>
    <w:p>
      <w:pPr>
        <w:spacing w:after="0" w:line="18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(xxvii)        (a) Except as disclosed in the Registration Statement, the Pricing Disclosure Package and the Prospectus, (1) there has been no security breach or other compromise of or relating to any of the Company’s or any of its subsidiaries’ information technology and computer systems, networks, hardware, software, data (including, to the knowledge of the Company and its subsidiaries after due inquiry, the data in the possession of the Company or its subsidiaries related to their respective customers, employees, suppliers and vendors),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(2) neither the Company nor any of its subsidiaries has been notified of, or has any knowledge of, any event or condition that would reasonably be expected to result in any security breach or other compromise to its IT Systems and Data and (3) the Company and its subsidiaries are in compliance in all material respects with all applicable statutes, governmental regulations and standards, contractual obligations and internal policies relating to the security of IT Systems and Data and to the protection of IT Systems and Data from unauthorized use, access, misappropriation or modification, except as would not, in the case of clause (1) or (2) above, individually or in the aggregate, have a material adverse effect on the Company and its subsidiaries, taken as a whole; and (b) the Company and its subsidiaries have implemented backup and disaster recovery technology consistent in all material respects with general industry standards and practices.</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Underwriter hereby agrees that, except for one or more term sheets containing the information set forth in Exhibit A and Exhibit B to Schedule II hereto, it will not use, authorize use of, refer to, or participate in the use of, any “free writing prospectus”, as defined in Rule 405 of the Rules and Regulations (which term includes use of any written information furnished to the Commission by the Company and not incorporated by reference in the Registration Statement and any press release issued by the Company) other than (i) one or more term sheets relating to the Securities which are not Issuer Free Writing Prospectuses and which contain preliminary terms of the Securities and related customary information, (ii) a free writing prospectus that is not required to be filed with the Commission, (iii) a free writing prospectus that contains no “issuer information” (as defined in Rule 433(h)(2) of the Rules and Regulations) that was not included (including through incorporation by reference) in any Preliminary Prospectus or a previously filed Issuer Free Writing Prospectus, (iv) any Issuer Free Writing Prospectus prepared pursuant to Section 7(c) hereof, or (v) any free writing prospectus prepared by such Underwriter and approved by the Company in advance in writing.</w:t>
      </w:r>
    </w:p>
    <w:p>
      <w:pPr>
        <w:spacing w:after="0" w:line="18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xml:space="preserve"> The Company is advised by the Underwriters that they have made a public offering of the Securities on the date of this Agreement. The terms of the public offering of the Securities are set forth in the Pricing Disclosure Package.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xml:space="preserve"> Except as otherwise provided in this Section 5, payment for the Securities shall be made to the Company in Federal or other funds immediately available at the time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place set forth in Schedule III hereto, upon delivery to the Representatives of the Securities, in fully registered global form registered in the name of Cede &amp; Co., for the respective accounts of the several Underwriters of the Securities registered in such names and in such denominations as the Representatives shall request in writing not less than the business day immediately preceding the date of delivery, with any transfer taxes payable in connection with the transfer of the Securities to the Underwriters duly paid. Delivery of the Securities shall be made through the facilities of The Depository Trust Company unless the Representatives shall otherwise instruct.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xml:space="preserve"> The obligations of the Underwriters are subject to the following conditions: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Subsequent to the execution and delivery of this Agreement and prior to the Closing Date:</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there shall not have occurred any downgrading or withdrawal, nor shall any notice have been given of any intended or potential downgrading or withdrawal or of any review for a possible change that does not indicate the direction of the possible change, in the rating accorded any of the Company’s securities by any “nationally recognized statistical rating organization,” as such term is defined for purposes of Section 3(a)(62) of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any Preliminary Prospectus and the Prospectus shall have been timely filed with the Commission in accordance with Section 7(b) hereof; the Company shall have complied with all filing requirements applicable to any Issuer Free Writing Prospectus; no stop order suspending the effectiveness of the Registration Statement or preventing or suspending the use of the Prospectus or any Issuer Free Writing Prospectus shall have been issued and no proceeding for such purpose or pursuant to Section 8A of the Securities Act against the Company or related to the offering shall have been initiated or threatened by the Commission; and any request of the Commission for inclusion of additional information in the Registration Statement or Prospectus or otherwise shall have been complied with; and the Company has not received from the Commission any notice pursuant to Rule 401(g)(2) of the Rules and Regulations objecting to use of the automatic shelf registration statement form; and</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there shall not have occurred any change, or any development involving a prospective change, in the condition, financial or otherwise, or in the earnings, business or operations of the Company and its subsidiaries, taken as a whole, from that set forth in the Pricing Disclosure Package that, in the judgment of the Representatives, is material and adverse and that makes it, in the judgment of the Representatives, impracticable or inadvisable to proceed with the offer, sale or delivery of the Securities on the terms and in the manner contemplated in the Pricing Disclosure Package and this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The Underwriters shall have received on the Closing Date a certificate, dated the Closing Date and signed by an executive officer of the Company, to the effect set forth in Sections 6(a)(i) and (ii) above and to the effect that (i)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and (ii) since the Effective Date, no event has occurred that should have been set forth in a supplement or amendment to the Registration Statement, the Prospectus or any Issuer Free Writing Prospectus that has not been so set forth. The officer signing and delivering such certificate may rely upon the best of his or her knowledge as to proceedings threatened.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At the Closing Date, the Securities shall have at least the ratings specified in the Pricing Disclosure Package, and the Company shall have delivered to the Underwriters a letter, dated the Closing Date, from each relevant rating agency, or other evidence reasonably satisfactory to the Underwriters, confirming that the Securities have been assigned such ratings;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The Underwriters shall have received (i) from Ropes &amp; Gray LLP, outside counsel to the Company, an opinion dated the Closing Date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(ii) from internal counsel to the Company, an opinion dated the Closing Date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The Company shall have furnished to each such counsel such documents as they request for the purpose of enabling them to pass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The opinions of Counsel described in this Section 6(d) shall be rendered to the Underwriters at the request of the Company and shall so state therein.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Underwriters shall have received from Choate, Hall &amp; Stewart LLP, special counsel for the Underwriters, an opinion dated the Closing Date and addressed to the Underwriters, with respect to such matters as the Representatives may reasonably require, and the Company shall have furnished to such counsel such documents as they request for the purpose of enabling them to pass upon such matters.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Underwriters shall have received on the date hereof and on the Closing Date, letters, the first dated the date hereof and the second dated the Closing Date, each in form and substance satisfactory to the Underwriters, from Deloitte &amp; Touche LLP, containing statements and information of the type ordinarily included in accountants’ “comfort letters” to underwriters with respect to the financial statements and certain financial information contained in or incorporated by reference in the most recent Preliminary Prospectus, the Pricing Disclosure Package and the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xml:space="preserve"> In further consideration of the agreements of the Underwriters herein contained, the Company covenants with each Underwriter as follows: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 furnish the Representatives, without charge, one (1) signed copy of the Registration Statement (including exhibits thereto) and, for delivery to each other Underwriter, a conformed copy of the Registration Statement (without exhibits thereto) and to furnish the Representatives in New York City, without charge, prior to 10:00 a.m. New York City time on the business day next succeeding the date of this Agreement and during the period mentioned in Section 7(e) hereof, as many copies of the Preliminary Prospectus, Prospectus, each Issuer Free Writing Prospectus, any documents incorporated by reference therein and any supplements and amendments thereto or to the Registration Statement as the Representatives may reasonably request.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To prepare the Prospectus in a form approved by the Representatives and to file the Preliminary Prospectus and the Prospectus pursuant to Rule 424(b) of the Rules and Regulations not later than the Commission’s close of business on the second business day following the execution and delivery of this Agreement. If, at any time prior to the filing of the Prospectus pursuant to Rule 424(b) of the Rules and Regulations, any event shall occur or condition exist as a result of which the Pricing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Representatives so that any use of the Pricing Disclosure Package may cease until it is amended or supplemented; (ii) amend or supplement the Pricing Disclosure Package to correct such statement or omission; and (iii) supply any amendment or supplement to the Underwriters in such quantities as the Representatives may reasonably request.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If required by the Securities Act, to timely file with the Commission under the Securities Act each Issuer Free Writing Prospectus. The Company will prepare pricing term sheets, substantially in the forms of Exhibit A and Exhibit B to Schedule II hereto, in forms approved by the Representatives and agrees to file such pricing term sheets pursuant to Rule 433(d) of the Rules and Regulations within the time required by such Rule and to file all other material required to be filed by the Company with the Commission pursuant to Rule 433(d) of the Rules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Before amending or supplementing the Registration Statement, any Preliminary Prospectus, the Pricing Disclosure Package or the Prospectus with respect to the Securities, to furnish to the Representatives a copy of each such proposed amendment or supplement and not to file any such proposed amendment or supplement to which the Representatives reasonably object.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during such period after the first date of the public offering of the Securities as in the opinion of counsel for the Underwriters the Prospectus is required by law to be delivered (including in such circumstances where such requirement can be satisfied pursuant to Rule 172 of the Rules and Regulations)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To endeavor to qualify the Securities for offer and sale under the securities or Blue Sky laws of such jurisdictions as the Representatives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as a foreign corporation or to file a consent to service of process or to file annual reports or to comply with any other requirements deemed by the Company in its reasonable judgment to be unduly burdensome.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Not to make any offer relating to the Securities that would constitute an Issuer Free Writing Prospectus without the prior written consent of the Representatives.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To retain in accordance with the Rules and Regulations all Issuer Free Writing Prospectuses it uses or refers to; and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To make generally available to the Company’s security holders, as soon as practicable, an earnings statement (which need not be audited) covering a period of at least twelve months beginning after the “effective date of the registration statement” within the meaning of Rule 158 of the Rules and Regulations, which earning statement shall be in such form, and be made generally available to security holders in such a manner, as to meet the requirements of the last paragraph of Section 11(a) of the Securities Act and Rule 158 of the Rules and Regulations.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During the period beginning on the date of this Agreement and continuing to and including the Closing Date, not to offer, sell, contract to sell or otherwise dispose of, directly or indirectly, any debt securities of the Company or warrants to purchase debt securities of the Company substantially similar to the Securities (other than (i) the Securities and (ii) commercial paper issued in the ordinary course of business), without the prior written consent of the Representatives.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Prospectus, any Issuer Free Writing Prospectus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memorandum in connection with the offer and sale of the Securities under state law and all expenses in connection with the qualification of the Securities for offer and sale under state law as provided in Section 7(f) hereof, including filing fees and the reasonable fees and disbursements of counsel for the Underwriters not to exceed $10,000 in connection with such qualification and in connection with the Blue Sky memorandum, (iv) the fees and disbursements of the Company’s accountants and the Trustee and its counsel, (v) all filing fees and the reasonable fees and disbursements of counsel to the Underwriters incurred in connection with any review and qualification of the offering of the Securities by the Financial Industry Regulatory Authority, (vi) any fees charged by the rating agencies for the rating of the Securities and (vii) all other costs and expenses incident to the performance of the obligations of the Company hereunder for which provision is not otherwise made in this Section. It is understood, however, that except as provided in this Section, Section 8 entitled “Indemnity and Contribution”, and clause (b) of Section 10 entitled “Defaulting Underwriters” hereof, the Underwriters will pay all of their costs and expenses, including fees and disbursements of their counsel (except as set forth in this Section 7(k)), and any advertising expenses connected with any offers they may make.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The Company will comply with all applicable securities and other applicable laws, rules and regulations, including, without limitation, the Sarbanes-Oxley Act, and will use its best efforts to cause the Company’s directors and officers, in their capacities as such, to comply with such laws, rules and regulations, including, without limitation, the provisions of the Sarbanes-Oxley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The Company will pay the applicable Commission filing fees relating to the Securities within the time required by Rule 456(b)(1) of the Rules and Regulations without regard to the proviso thereof.</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If immediately prior to the third anniversary (the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of the initial effective date of the Registration Statement, any of the Securities remain unsold by the Underwriters, the Company will, prior to the Renewal Deadline, file, if it has not already done so and is eligible to do so, a new automatic shelf registration statement relating to the Securities, in a form satisfactory to the Representatives. If the Company is no longer eligible to file an automatic shelf registration statement, the Company will prior to the Renewal Deadline, if it has not already done so, file a new shelf registration statement relating to the Securities,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If at any time when Securities remain unsold by the Underwriters the Company receives from the Commission a notice pursuant to Rule 401(g)(2) of the Rules and Regulations or otherwise ceases to be eligible to use the automatic shelf registration statement form, the Company will</w:t>
      </w:r>
    </w:p>
    <w:p>
      <w:pPr>
        <w:jc w:val="both"/>
        <w:ind w:firstLine="8"/>
        <w:spacing w:after="0" w:line="252" w:lineRule="auto"/>
        <w:tabs>
          <w:tab w:leader="none" w:pos="2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Representatives, (ii) promptly file a new registration statement or post-effective amendment on the proper form relating to the Securities,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Securities to continue as contemplated in the registration statement that was the subject of the Rule 401(g)(2) of the Rules and Regulations notice or for which the Company has otherwise become ineligible. References herein to the Registration Statement shall include such new registration statement or post-effective amendment, as the case may be.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xml:space="preserve"> (a) The Company agrees to indemnify and hold harmless each Underwriter, its directors, officers and employees and each person, if any, who controls any Underwriter within the meaning of either Section 15 of the Securities Act or Section 20 of the Exchange Act from and against any and all losses, claims, damages and liabilities when and as incurred by them (including, without limitation, any legal or other expenses reasonably incurred in connection with defending or investigating any such action or claim) that are based upon or arise out of any untrue statement or alleged untrue statement of a material fact contained in the Registration Statement, any Preliminary Prospectus, the Prospectus, the Pricing Disclosure Package (as defined to include, as of the Applicable Time, the most recent Preliminary Prospectus, together with each Issuer Free Writing Prospectus listed on Schedule II hereto), any Issuer Free Writing Prospectus or in any amendment or supplement thereto, or any “issuer information” (as defined in Rule 433 of the Rules and Regulations) contained in any free writing prospectus, so long as the Company consented in writing to such free writing prospectus prior to its first use or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which information consists solely of the information specified in Section 8(g)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Prospectus, the Pricing Disclosure Package, any Issuer Free Writing Prospectus or in any amendments or supplements thereto, which information is limited to the information set forth in Section 8(g) hereof.</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In case any proceeding (including any governmental investigation) shall be instituted involving any person in respect of which indemnity may be sought pursuant to either Section 8(a) or 8(b) hereof,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(but the omission so to notify the indemnifying party under this subsection shall not relieve it from any liability which it otherwise might have to an indemnified party otherwise than under this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has not retained counsel within a reasonable period of time after the request by the indemnified party to do so.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hereof, and by the Company, in the case of parties indemnified pursuant to 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To the extent the indemnification provided for in Section 8(a) or 8(b) hereof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each indemnifying party on the one hand and each indemnified party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such Securities (before deducting expenses) received by the Company and the total underwriting discounts and commissions received by the Underwriters, in each case as set forth in the table on the cover of the Prospectus, bear to the aggregate public offering price of the Securities. The relative fault of each indemnifying party on the one hand and each indemnified party on the other hand shall be determined by reference to, among other things, whether the untrue or alleged untrue statement of a material fact or the omission or alleged omission to state a material fact relates to information supplied by such indemnifying party or by such indemnified party and the parties’ relative intent, knowledge, access to information and opportunity to correct or prevent such statement or omission. The Underwriters’ respective obligations to contribute pursuant to this Section 8 are several in proportion to the respective principal amounts of Securities they have purchased hereunder, and not joint.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 account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equitable considerations referred to in Section 8(d) hereof.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or any person controlling any Underwriter or the Company, its officers or directors or any person controlling the Company and (iii) acceptance of and payment for any of the Securities.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The Underwriters severally confirm and the Company acknowledges and agrees that the statements (i) regarding delivery of the Securities by the Underwriters set forth in the last paragraph of text on the cover page, (ii) in the third, sixth and seventh paragraphs of text under the caption “Underwriting” and (iii) in the third sentence of the fifth paragraph of text under the caption “Underwriting” of the most recent Preliminary Prospectus and the Prospectus are correct and constitute the only information concerning such Underwriter furnished in writing to the Company by or on behalf of the Underwriters specifically for inclusion in the Registration Statement, any Preliminary Prospectus, the Prospectus, the Pricing Disclosure Package, any Issuer Free Writing Prospectus or in any amendment or supplement thereto.</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This Agreement shall be subject to termination by notice given by the Representatives to the Company, if (a) after the execution and delivery of this Agreement and on or prior to the Closing Date (i) trading generally shall have been suspended or materially limited on or by, as the case may be, any of the New York Stock Exchange, the Nasdaq Stock Market, the Chicago Board of Options Exchange, the Chicago Mercantile Exchange or the Chicago Board of Trade or there shall have been established by any of such exchanges or by the Commission or by any federal or state agency or by the decision of any court, any general limitation on prices for such trading or any general restrictions on the distribution of securities,</w:t>
      </w:r>
    </w:p>
    <w:p>
      <w:pPr>
        <w:spacing w:after="0" w:line="1" w:lineRule="exact"/>
        <w:rPr>
          <w:sz w:val="20"/>
          <w:szCs w:val="20"/>
          <w:color w:val="auto"/>
        </w:rPr>
      </w:pPr>
    </w:p>
    <w:p>
      <w:pPr>
        <w:jc w:val="both"/>
        <w:ind w:firstLine="8"/>
        <w:spacing w:after="0" w:line="250"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of any securities of the Company shall have been suspended on any exchange or in any over-the-counter market, (iii) a general moratorium on commercial banking activities in New York shall have been declared by either Federal or New York State authorities, (iv) there shall have occurred any</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outbreak of hostilities affecting the United States, or (B) other national or international calamity or crisis, or any material adverse change in financial, political or economic conditions affecting the United States, including, but not limited to, an escalation of hostilities that existed prior to the date of this Agreement, or (v) there shall have occurred any material disruption in commercial banking, securities settlement or clearance services and (b) in the case of any of the events specified in clauses 9(a)(i) through 9(a)(v), such event, singly or together with any other such event, makes it impracticable or inadvisable, in the sole judgment of the Representatives, to proceed with the offer, sale or delivery of the Securities on the terms and in the manner contemplated in the most recent Preliminary Prospectus or the Prospectus.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 xml:space="preserve"> (a) If, on the Closing Date, any one or more of the Underwriters shall fail or refuse to purchase the Securities set forth opposite the name of such Underwriter or Underwriters in Schedule I hereto that it has or they have agreed to purchase hereunder on such date, and the aggregate amount of such Securities which such defaulting Underwriter or Underwriters agreed but failed or refused to purchase is not more than one-tenth of the aggregate amount of the Securities of such Underwriter or Underwriters to be purchased on such date, the other Underwriters shall be obligated severally in the proportions that the amount of such Securities set forth opposite their respective names in Schedule I hereto bears to the aggregate amount of such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amount of the Securities that any Underwriter has agreed to purchase pursuant to this Agreement be increased pursuant to this Section 10 by an amount in excess of one-ninth of such amount of such Securities without the written consent of such Underwriter. If, on the Closing Date, any Underwriter or Underwriters shall fail or refuse to purchase such Securities and the aggregate amount of such Securities with respect to which such default occurs is more than one tenth of the aggregate amount of such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this Agreement shall be terminated by the Underwriters because any condition to the obligation of the Underwriters set forth in Section 6 hereof is not satisfied, because of any termination pursuant to Section 9 hereof or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 of pocket expenses (including the fees and disbursements of their counsel) reasonably incurred by the Underwriters in connection with this Agreement or the offering contemplated hereunder.</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xml:space="preserve"> The Company acknowledges and agrees that in connection with this offering, sale of the Securities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Company and any other person, on the one hand, and the Underwriters, on the other, exists; (ii) the Underwriters are not acting as advisors, expert or otherwise, to the Company, including, without limitation, with respect to the determination of the public offering price of the Securities, and such relationship between the Company, on the one hand, and the Underwriters, on the other, is entirely and solely commercial and based on arms-length negotiations; (iii) any duties and obligations that the Underwriters may have to the Company shall be limited to those duties and obligations specifically stated herein; and (iv)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8 and 10(b) hereof shall survive the termination or cancellation of this Agreement.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communications hereunder will be in writing and effective only on receipt, and, if sent to the Underwriters, will be mailed, delivered or telefaxed to Citigroup Global Markets Inc., 388 Greenwich Street, New York, New York 10013, Facsimile No.: (646) 291-1469, Attention: General Counsel; J.P. Morgan Securities LLC, 383 Madison Avenue, New York, New York 10017, Attention: Investment Grade Syndicate Desk, Facsimile No.: (212) 834-6081; Morgan Stanley &amp; Co. LLC, 1585 Broadway,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10036, Attention: Investment Banking Division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(212) 507-8999; MUFG Securities Americas Inc., 1221 Avenue of the Americas, 6th Floor, New York, New York 10020, Attention: Capital</w:t>
      </w:r>
    </w:p>
    <w:p>
      <w:pPr>
        <w:spacing w:after="0" w:line="191" w:lineRule="auto"/>
        <w:rPr>
          <w:sz w:val="20"/>
          <w:szCs w:val="20"/>
          <w:color w:val="auto"/>
        </w:rPr>
      </w:pPr>
      <w:r>
        <w:rPr>
          <w:rFonts w:ascii="Times New Roman" w:cs="Times New Roman" w:eastAsia="Times New Roman" w:hAnsi="Times New Roman"/>
          <w:sz w:val="18"/>
          <w:szCs w:val="18"/>
          <w:color w:val="auto"/>
        </w:rPr>
        <w:t>Markets Group, Facsimile No.: (646) 434-3455; TD Securities (USA) LLC, 1 Vanderbilt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10017, Attention:</w:t>
      </w:r>
    </w:p>
    <w:p>
      <w:pPr>
        <w:spacing w:after="0"/>
        <w:rPr>
          <w:sz w:val="20"/>
          <w:szCs w:val="20"/>
          <w:color w:val="auto"/>
        </w:rPr>
      </w:pPr>
      <w:r>
        <w:rPr>
          <w:rFonts w:ascii="Times New Roman" w:cs="Times New Roman" w:eastAsia="Times New Roman" w:hAnsi="Times New Roman"/>
          <w:sz w:val="18"/>
          <w:szCs w:val="18"/>
          <w:color w:val="auto"/>
        </w:rPr>
        <w:t xml:space="preserve">Transaction Advisory Email: </w:t>
      </w:r>
      <w:r>
        <w:rPr>
          <w:rFonts w:ascii="Times New Roman" w:cs="Times New Roman" w:eastAsia="Times New Roman" w:hAnsi="Times New Roman"/>
          <w:sz w:val="18"/>
          <w:szCs w:val="18"/>
          <w:u w:val="single" w:color="auto"/>
          <w:color w:val="auto"/>
        </w:rPr>
        <w:t>ustransactionadvisory@tdsecurities.com</w:t>
      </w:r>
      <w:r>
        <w:rPr>
          <w:rFonts w:ascii="Times New Roman" w:cs="Times New Roman" w:eastAsia="Times New Roman" w:hAnsi="Times New Roman"/>
          <w:sz w:val="18"/>
          <w:szCs w:val="18"/>
          <w:color w:val="auto"/>
        </w:rPr>
        <w:t>; and U.S. Bancorp Investments, Inc., 214 North Tryon Street, 26th Floor Charlotte,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Carolina 28202, Attention: Investment Grade Syndicate, Facsimile No.: (704) 335-2393; or, if sent to the Company, will be mailed, delivered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telefaxed to Eversource Energy, Attention: Corporate Finance &amp; Cash Management, Facsimile No.: (781) 441-3086 and confirmed to it at Eversource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247 Station Drive, Westwood, Massachusetts 02090, Attention: Assistant Treasurer, with a copy to Eversource Energy, 56 Prospect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 06103, Attention: Executive Vice President and General Counsel.</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THE COMPANY HEREBY IRREVOCABLY WAIVES, TO THE FULLEST EXTENT PERMITTED BY APPLICABLE LAW, ANY AND ALL RIGHT TO TRIAL BY JURY IN ANY LEGAL PROCEEDING ARISING OUT OF OR RELATING TO THIS AGREEMENT OR THE TRANSACTIONS CONTEMPLATED HEREBY.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xml:space="preserve"> This Agreement shall be governed by and construed in accordance with the internal laws of the State of New York.</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of the sections of this Agreement have been inserted for convenience of reference only and shall not be deemed a part of this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No Shareholder Liability.</w:t>
      </w:r>
      <w:r>
        <w:rPr>
          <w:rFonts w:ascii="Times New Roman" w:cs="Times New Roman" w:eastAsia="Times New Roman" w:hAnsi="Times New Roman"/>
          <w:sz w:val="18"/>
          <w:szCs w:val="18"/>
          <w:color w:val="auto"/>
        </w:rPr>
        <w:t xml:space="preserve"> The Declaration of Trust of the Company provides that no shareholder of the Company shall be held to any liability whatever for the payment of any sum of money, or for damages or otherwise, under any contract, obligation or undertaking made, entered into or issued by the trustees of the Company or by any officer, agent or representative elected or appointed by the trustees of the Company and no such contract, obligation, or undertaking shall be enforceable against the trustees of the Company or any of them in their or his individual capacities or capacity and all such contracts, obligations and undertakings shall be enforceable only against the trustees of the Company as such, and every person, firm, association, trust and corporation having any claim or demand arising out of any such contract, obligation or undertaking shall look only to the trust estate for the payment or satisfaction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Section 20,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Please confirm your agreement by having an authorized officer sign a copy of this Agreement in the space set forth below.</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EVERSOURCE ENERGY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Emilie G.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Emilie G. O’Neil</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 E</w:t>
      </w:r>
      <w:r>
        <w:rPr>
          <w:rFonts w:ascii="Times New Roman" w:cs="Times New Roman" w:eastAsia="Times New Roman" w:hAnsi="Times New Roman"/>
          <w:sz w:val="12"/>
          <w:szCs w:val="12"/>
          <w:color w:val="auto"/>
        </w:rPr>
        <w:t>versource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nergy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Robert Bottamedi</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Natalie Smithson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Natalie Smithson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Lee Schreibstein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Lee Schreibstein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Luiz Lanfredi</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Brent Kreissl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Brent Kreissl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 E</w:t>
      </w:r>
      <w:r>
        <w:rPr>
          <w:rFonts w:ascii="Times New Roman" w:cs="Times New Roman" w:eastAsia="Times New Roman" w:hAnsi="Times New Roman"/>
          <w:sz w:val="12"/>
          <w:szCs w:val="12"/>
          <w:color w:val="auto"/>
        </w:rPr>
        <w:t>versource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nergy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160" w:type="dxa"/>
            <w:vAlign w:val="bottom"/>
            <w:gridSpan w:val="3"/>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616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5.85% Senior Notes, Series FF, Due 2031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Principal Amount of Securities</w:t>
            </w:r>
          </w:p>
        </w:tc>
      </w:tr>
      <w:tr>
        <w:trPr>
          <w:trHeight w:val="209"/>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700,000,000</w:t>
            </w:r>
          </w:p>
        </w:tc>
      </w:tr>
      <w:tr>
        <w:trPr>
          <w:trHeight w:val="432"/>
        </w:trPr>
        <w:tc>
          <w:tcPr>
            <w:tcW w:w="3400" w:type="dxa"/>
            <w:vAlign w:val="bottom"/>
          </w:tcPr>
          <w:p>
            <w:pPr>
              <w:spacing w:after="0"/>
              <w:rPr>
                <w:sz w:val="24"/>
                <w:szCs w:val="24"/>
                <w:color w:val="auto"/>
              </w:rPr>
            </w:pPr>
          </w:p>
        </w:tc>
        <w:tc>
          <w:tcPr>
            <w:tcW w:w="616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rPr>
              <w:t>5.95% Senior Notes, Series GG, Due 2034</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Principal Amount of Securities</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6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1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700,000,000</w:t>
            </w:r>
          </w:p>
        </w:tc>
      </w:tr>
      <w:tr>
        <w:trPr>
          <w:trHeight w:val="432"/>
        </w:trPr>
        <w:tc>
          <w:tcPr>
            <w:tcW w:w="3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center"/>
        <w:ind w:right="-167"/>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1248"/>
        <w:spacing w:after="0"/>
        <w:rPr>
          <w:sz w:val="20"/>
          <w:szCs w:val="20"/>
          <w:color w:val="auto"/>
        </w:rPr>
      </w:pPr>
      <w:r>
        <w:rPr>
          <w:rFonts w:ascii="Times New Roman" w:cs="Times New Roman" w:eastAsia="Times New Roman" w:hAnsi="Times New Roman"/>
          <w:sz w:val="18"/>
          <w:szCs w:val="18"/>
          <w:b w:val="1"/>
          <w:bCs w:val="1"/>
          <w:color w:val="auto"/>
        </w:rPr>
        <w:t>Complete list of all Issuer Free Writing Prospectuses used in connection with the offering of the Securities</w:t>
      </w:r>
    </w:p>
    <w:p>
      <w:pPr>
        <w:spacing w:after="0" w:line="229" w:lineRule="exact"/>
        <w:rPr>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sheet, dated April 15, 2024, attached hereto as Exhibit A to this Schedule II, relating to the 5.85% Senior Notes, Series FF, Due 2031.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sheet, dated April 15, 2024, attached hereto as Exhibit B to this Schedule II, relating to the 5.95% Senior Notes, Series GG,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299085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28"/>
          </w:cols>
          <w:pgMar w:left="652" w:top="900" w:right="8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 to Schedule II</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333-264278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EVERSOURCE ENERGY</w:t>
            </w:r>
          </w:p>
        </w:tc>
      </w:tr>
      <w:tr>
        <w:trPr>
          <w:trHeight w:val="392"/>
        </w:trPr>
        <w:tc>
          <w:tcPr>
            <w:tcW w:w="3560" w:type="dxa"/>
            <w:vAlign w:val="bottom"/>
          </w:tcPr>
          <w:p>
            <w:pPr>
              <w:spacing w:after="0"/>
              <w:rPr>
                <w:sz w:val="24"/>
                <w:szCs w:val="24"/>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8"/>
              </w:rPr>
              <w:t>Pricing Term Sheet</w:t>
            </w:r>
          </w:p>
        </w:tc>
      </w:tr>
      <w:tr>
        <w:trPr>
          <w:trHeight w:val="20"/>
        </w:trPr>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380" w:type="dxa"/>
            <w:vAlign w:val="bottom"/>
          </w:tcPr>
          <w:p>
            <w:pPr>
              <w:spacing w:after="0"/>
              <w:rPr>
                <w:sz w:val="24"/>
                <w:szCs w:val="24"/>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Eversource Energy</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$700,000,000 5.85% Senior Notes, Series FF, Due 2031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$700,000,000</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15, 2031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5.85%</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4.125% due March 31, 2031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 Yield:</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96-28+ / 4.653%</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120 basis points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5.853%</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99.984% of the principal amount</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Semi-annually in arrears on April 15 and October 15 of each year, commencing on</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October 15, 2024  </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Provisions: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Make-whole call at any time prior to February 15, 2031 (two months prior to the</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Maturity Date) at a discount rate of Treasury plus 20 basis points and on or after such</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at par</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18, 2024 (T+3)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30040WBA5 / US30040WBA53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Baa2 (Moody’s); BBB+ (S&amp;P); BBB (Fitch)</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34"/>
        </w:trPr>
        <w:tc>
          <w:tcPr>
            <w:tcW w:w="3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Siebert Williams Shank &amp; Co., LLC</w:t>
            </w:r>
          </w:p>
        </w:tc>
      </w:tr>
    </w:tbl>
    <w:p>
      <w:pPr>
        <w:spacing w:after="0" w:line="198" w:lineRule="exact"/>
        <w:rPr>
          <w:sz w:val="20"/>
          <w:szCs w:val="20"/>
          <w:color w:val="auto"/>
        </w:rPr>
      </w:pPr>
    </w:p>
    <w:p>
      <w:pPr>
        <w:jc w:val="both"/>
        <w:ind w:firstLine="8"/>
        <w:spacing w:after="0" w:line="258"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15c6-1 under the Securities Exchange Act of 1934, as amended, trades in the secondary market generally are required to settle in two business days, unless the parties to any such trade expressly agree otherwise. Accordingly, purchasers who wish to trade notes in the secondary market prior to the date that is two business days before the settlement date will be required, by virtue of the fact that the notes initially will settle T+3 (on April 18, 2024) to specify an alternate settlement cycle at the time of any such trade to prevent a failed settlement. Purchasers of notes who wish to trade notes prior to the date that is two business days before the settlement date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w:t>
      </w:r>
      <w:r>
        <w:rPr>
          <w:rFonts w:ascii="Times New Roman" w:cs="Times New Roman" w:eastAsia="Times New Roman" w:hAnsi="Times New Roman"/>
          <w:sz w:val="18"/>
          <w:szCs w:val="18"/>
          <w:color w:val="auto"/>
        </w:rPr>
        <w:t>You may get these documents for free by visiting EDGAR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Web site at www.sec.gov. Alternatively, the issuer, any underwriter or any dealer participating in the offering will arrange to send you the prospectus (as supplemented) if you request it by calling Citigroup Global Markets Inc. toll-free at (800) 831-9146; J.P. Morgan Securities LLC collect at (212) 834-4533; Morgan Stanley &amp; Co. LLC toll-free at (866) 718-1649; MUFG Securities Americas Inc. toll-free at (877) 649-6848; TD Securities (USA) LLC toll-free at (855) 495-9846; or U.S. Bancorp Investments, Inc. toll-free at (877) 558-2607.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 to Schedule II</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333-264278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EVERSOURCE ENERGY</w:t>
            </w:r>
          </w:p>
        </w:tc>
      </w:tr>
      <w:tr>
        <w:trPr>
          <w:trHeight w:val="392"/>
        </w:trPr>
        <w:tc>
          <w:tcPr>
            <w:tcW w:w="3560" w:type="dxa"/>
            <w:vAlign w:val="bottom"/>
          </w:tcPr>
          <w:p>
            <w:pPr>
              <w:spacing w:after="0"/>
              <w:rPr>
                <w:sz w:val="24"/>
                <w:szCs w:val="24"/>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8"/>
              </w:rPr>
              <w:t>Pricing Term Sheet</w:t>
            </w:r>
          </w:p>
        </w:tc>
      </w:tr>
      <w:tr>
        <w:trPr>
          <w:trHeight w:val="20"/>
        </w:trPr>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380" w:type="dxa"/>
            <w:vAlign w:val="bottom"/>
          </w:tcPr>
          <w:p>
            <w:pPr>
              <w:spacing w:after="0"/>
              <w:rPr>
                <w:sz w:val="24"/>
                <w:szCs w:val="24"/>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Eversource Energy</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$700,000,000 5.95% Senior Notes, Series GG, Due 2034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$700,000,000</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July 15, 2034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5.95%</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4.000% due February 15, 2034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 Yield:</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95-00 / 4.638%</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135 basis points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27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5.988%</w:t>
            </w:r>
          </w:p>
        </w:tc>
        <w:tc>
          <w:tcPr>
            <w:tcW w:w="49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99.723% of the principal amount</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Semi-annually in arrears on January 15 and July 15 of each year, commencing on</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July 15, 2024  </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Provisions: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Make-whole call at any time prior to April 15, 2034 (three months prior to the</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Maturity Date) at a discount rate of Treasury plus 25 basis points and on or after such</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at par</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15, 2024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18, 2024 (T+3)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30040WAZ1 / US30040WAZ14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Baa2 (Moody’s); BBB+ (S&amp;P); BBB (Fitch)</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138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34"/>
        </w:trPr>
        <w:tc>
          <w:tcPr>
            <w:tcW w:w="3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Siebert Williams Shank &amp; Co., LLC</w:t>
            </w:r>
          </w:p>
        </w:tc>
      </w:tr>
    </w:tbl>
    <w:p>
      <w:pPr>
        <w:spacing w:after="0" w:line="198" w:lineRule="exact"/>
        <w:rPr>
          <w:sz w:val="20"/>
          <w:szCs w:val="20"/>
          <w:color w:val="auto"/>
        </w:rPr>
      </w:pPr>
    </w:p>
    <w:p>
      <w:pPr>
        <w:jc w:val="both"/>
        <w:ind w:firstLine="8"/>
        <w:spacing w:after="0" w:line="258"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15c6-1 under the Securities Exchange Act of 1934, as amended, trades in the secondary market generally are required to settle in two business days, unless the parties to any such trade expressly agree otherwise. Accordingly, purchasers who wish to trade notes in the secondary market prior to the date that is two business days before the settlement date will be required, by virtue of the fact that the notes initially will settle T+3 (on April 18, 2024) to specify an alternate settlement cycle at the time of any such trade to prevent a failed settlement. Purchasers of notes who wish to trade notes prior to the date that is two business days before the settlement date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w:t>
      </w:r>
      <w:r>
        <w:rPr>
          <w:rFonts w:ascii="Times New Roman" w:cs="Times New Roman" w:eastAsia="Times New Roman" w:hAnsi="Times New Roman"/>
          <w:sz w:val="18"/>
          <w:szCs w:val="18"/>
          <w:color w:val="auto"/>
        </w:rPr>
        <w:t>You may get these documents for free by visiting EDGAR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Web site at www.sec.gov. Alternatively, the issuer, any underwriter or any dealer participating in the offering will arrange to send you the prospectus (as supplemented) if you request it by calling Citigroup Global Markets Inc. toll-free at (800) 831-9146; J.P. Morgan Securities LLC collect at (212) 834-4533; Morgan Stanley &amp; Co. LLC toll-free at (866) 718-1649; MUFG Securities Americas Inc. toll-free at (877) 649-6848; TD Securities (USA) LLC toll-free at (855) 495-9846; or U.S. Bancorp Investments, Inc. toll-free at (877) 558-2607.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Location: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10:00 a.m., New York time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18,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Choate, Hall &amp; Stewart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Two International Place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for the 2031 Notes: 99.359% of the principal amount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for the 2034 Notes: 99.073% of the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Ropes Opinion to Underwriters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Issuer’s General Counsel Opinion to Underwriters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176530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BANK OF NEW YORK MELLON TRUST COMPANY, N.A.,</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TWENTY-SECOND SUPPLEMENTAL INDENTURE</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April 1,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Supplemental to the Indenture dated as of April 1, 2002</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Senior Notes, Series FF, Due 2031</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Senior Notes, Series GG,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TWENTY-SECOND SUPPLEMENTAL INDENTURE, dated as of April 1, 2024 (this “</w:t>
      </w:r>
      <w:r>
        <w:rPr>
          <w:rFonts w:ascii="Times New Roman" w:cs="Times New Roman" w:eastAsia="Times New Roman" w:hAnsi="Times New Roman"/>
          <w:sz w:val="18"/>
          <w:szCs w:val="18"/>
          <w:u w:val="single" w:color="auto"/>
          <w:color w:val="auto"/>
        </w:rPr>
        <w:t>Twenty-Second Supplemental Indenture</w:t>
      </w:r>
      <w:r>
        <w:rPr>
          <w:rFonts w:ascii="Times New Roman" w:cs="Times New Roman" w:eastAsia="Times New Roman" w:hAnsi="Times New Roman"/>
          <w:sz w:val="18"/>
          <w:szCs w:val="18"/>
          <w:color w:val="auto"/>
        </w:rPr>
        <w:t>”), between EVERSOURCE ENERGY, a voluntary association duly organized and existing under the laws of the Commonwealth of Massachusetts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BANK OF NEW YORK MELLON TRUST COMPANY, N.A., formerly known as The Bank of New York Trust Company, N.A. (as successor trustee to The Bank of New York), a national banking association, as Trustee under the Original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heretofore executed and delivered to the Trustee an indenture dated as of April 1, 2002 (the “</w:t>
      </w:r>
      <w:r>
        <w:rPr>
          <w:rFonts w:ascii="Times New Roman" w:cs="Times New Roman" w:eastAsia="Times New Roman" w:hAnsi="Times New Roman"/>
          <w:sz w:val="18"/>
          <w:szCs w:val="18"/>
          <w:u w:val="single" w:color="auto"/>
          <w:color w:val="auto"/>
        </w:rPr>
        <w:t>Original Indenture</w:t>
      </w:r>
      <w:r>
        <w:rPr>
          <w:rFonts w:ascii="Times New Roman" w:cs="Times New Roman" w:eastAsia="Times New Roman" w:hAnsi="Times New Roman"/>
          <w:sz w:val="18"/>
          <w:szCs w:val="18"/>
          <w:color w:val="auto"/>
        </w:rPr>
        <w:t>”), as supplemented and amended, to provide for the issuance from time to time of its notes, debentures or other evidences of 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form and terms of which are to be established as set forth in Sections 201 and 301 of the Original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901 of the Original Indenture provides, among other things, that the Company and the Trustee may enter into indentures supplemental to the Original Indenture for, among other things, (a) the purpose of establishing the form and terms of the Securities of any series as permitted by Sections 201 and 301 of the Original Indenture, (b) changing any of the provisions of the Original Indenture as they apply to any series of Securities created by such supplemental indenture and (c) amending the Original Indenture in a manner not materially adverse to 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previously executed and delivered to the Trustee twenty-one supplemental indentures which are part of the Indenture for the purposes recited therein and for the purpose of issuing Securities under the Indenture, the currently outstanding series of which are set forth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Indenture</w:t>
            </w:r>
          </w:p>
        </w:tc>
        <w:tc>
          <w:tcPr>
            <w:tcW w:w="1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Series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Currently Outstanding</w:t>
            </w:r>
          </w:p>
        </w:tc>
      </w:tr>
      <w:tr>
        <w:trPr>
          <w:trHeight w:val="209"/>
        </w:trPr>
        <w:tc>
          <w:tcPr>
            <w:tcW w:w="17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Sixth</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January 1, 2015</w:t>
            </w:r>
          </w:p>
        </w:tc>
        <w:tc>
          <w:tcPr>
            <w:tcW w:w="12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Senior Notes, Series H, Due 2025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300,000,000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Seventh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March 1, 2016</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Senior Notes, Series J, Due 2026</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Ninth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1, 2017</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Notes, Series L, Due 2024</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January 1, 2018</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M, Due 2028</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Eleventh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1, 2018</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Notes, Series O, Due 2029</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Twelfth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January 1, 2020</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Senior Notes, Series P, Due 2050</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Thirteenth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1, 2020</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Senior Notes, Series P, Due 2050</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Thirteenth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August 1, 2020</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Senior Notes, Series Q, Due 2025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Thirteenth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1, 2020</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R, Due 2030</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600,000,000</w:t>
            </w:r>
          </w:p>
        </w:tc>
      </w:tr>
      <w:tr>
        <w:trPr>
          <w:trHeight w:val="216"/>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Fourteenth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March 1, 2021</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S, Due 2031</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Fifteenth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1, 2021</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Notes, Series U, Due 2026</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Sixteenth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February 1, 2022</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Senior Notes, Series V, Due 2027</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Sixteenth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2022</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W, Due 2032</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Seventeenth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June 1, 2022</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Senior Notes, Series X, Due 2024</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900,000,000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Seventeenth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2022</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Senior Notes, Series Y, Due 2027</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600,000,000</w:t>
            </w:r>
          </w:p>
        </w:tc>
      </w:tr>
      <w:tr>
        <w:trPr>
          <w:trHeight w:val="216"/>
        </w:trPr>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Eighteenth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March 1, 2023</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Senior Notes, Series Z, Due 2028</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Nineteenth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2023</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Notes, Series Z, Due 2028</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Nineteenth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May 1, 2023</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AA, Due 2026</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Nineteenth</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2023</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BB, Due 2033</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Twentieth</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CC, Due 2029</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18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Twenty-First</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2024</w:t>
            </w:r>
          </w:p>
        </w:tc>
        <w:tc>
          <w:tcPr>
            <w:tcW w:w="4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DD, Due 2027</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350,000,000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350,000,000</w:t>
            </w:r>
          </w:p>
        </w:tc>
      </w:tr>
      <w:tr>
        <w:trPr>
          <w:trHeight w:val="216"/>
        </w:trPr>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Twenty-First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January 1, 2024</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Notes, Series EE, Due 2034</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650,000,000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650,000,000</w:t>
            </w: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Total Outstanding Principal Amount: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11,300,000,000</w:t>
            </w:r>
          </w:p>
        </w:tc>
      </w:tr>
      <w:tr>
        <w:trPr>
          <w:trHeight w:val="648"/>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desires to create two new series of Securities, in an initial aggregate principal amount of $1,400,000,000, the first series of which is to be designated the “Senior Notes, Series FF, Due 2031” in the aggregate principal amount of $700,000,000 (the “</w:t>
      </w:r>
      <w:r>
        <w:rPr>
          <w:rFonts w:ascii="Times New Roman" w:cs="Times New Roman" w:eastAsia="Times New Roman" w:hAnsi="Times New Roman"/>
          <w:sz w:val="18"/>
          <w:szCs w:val="18"/>
          <w:u w:val="single" w:color="auto"/>
          <w:color w:val="auto"/>
        </w:rPr>
        <w:t>Series FF Notes</w:t>
      </w:r>
      <w:r>
        <w:rPr>
          <w:rFonts w:ascii="Times New Roman" w:cs="Times New Roman" w:eastAsia="Times New Roman" w:hAnsi="Times New Roman"/>
          <w:sz w:val="18"/>
          <w:szCs w:val="18"/>
          <w:color w:val="auto"/>
        </w:rPr>
        <w:t>”) and the second series of which is to be designated as the “Senior Notes, Series GG, Due 2034” in the aggregate principal amount of $700,000,000 (the “</w:t>
      </w:r>
      <w:r>
        <w:rPr>
          <w:rFonts w:ascii="Times New Roman" w:cs="Times New Roman" w:eastAsia="Times New Roman" w:hAnsi="Times New Roman"/>
          <w:sz w:val="18"/>
          <w:szCs w:val="18"/>
          <w:u w:val="single" w:color="auto"/>
          <w:color w:val="auto"/>
        </w:rPr>
        <w:t>Series GG Notes</w:t>
      </w:r>
      <w:r>
        <w:rPr>
          <w:rFonts w:ascii="Times New Roman" w:cs="Times New Roman" w:eastAsia="Times New Roman" w:hAnsi="Times New Roman"/>
          <w:sz w:val="18"/>
          <w:szCs w:val="18"/>
          <w:color w:val="auto"/>
        </w:rPr>
        <w:t>”) and all action on the part of the Company necessary to authorize the issuance of the Series FF Notes and the Series GG Notes under the Original Indenture and this Twenty-Second Supplemental Indenture has been duly taken.</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All acts and things necessary to make the Series FF Notes and the Series GG Notes, when executed by the Company and completed, authenticated and delivered by the Trustee as provided in the Original Indenture and this Twenty-Second Supplemental Indenture, the valid and binding obligations of the Company and to constitute these presents a valid and binding supplemental indenture and agreement according to its terms, have been done and performed.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NOW, THEREFORE, THIS TWENTY-SECOND SUPPLEMENTAL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consideration of the premises and of the acceptance and purchase of the Series FF Notes and the Series GG Notes by the Holders thereof and of the acceptance of this trust by the Trustee, the Company covenants and agrees with the Trustee, for the equal and ratable benefit of the Holders of the Series FF Notes and the Series GG Notes, as follows:</w:t>
      </w:r>
    </w:p>
    <w:p>
      <w:pPr>
        <w:spacing w:after="0" w:line="17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use of the terms and expressions herein is in accordance with the definitions, uses and constructions contained in the Original Indenture and (i) the form of the Series FF Notes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(ii) the form of the Series GG Notes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and Issuance of the Senior Notes, Series FF, Due 2031</w:t>
      </w:r>
    </w:p>
    <w:p>
      <w:pPr>
        <w:spacing w:after="0" w:line="20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Issue of Series FF Notes.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series of Securities which shall be designated the “Senior Notes, Series FF, Due 2031” (the “</w:t>
      </w:r>
      <w:r>
        <w:rPr>
          <w:rFonts w:ascii="Times New Roman" w:cs="Times New Roman" w:eastAsia="Times New Roman" w:hAnsi="Times New Roman"/>
          <w:sz w:val="18"/>
          <w:szCs w:val="18"/>
          <w:u w:val="single" w:color="auto"/>
          <w:color w:val="auto"/>
        </w:rPr>
        <w:t>Series FF Notes</w:t>
      </w:r>
      <w:r>
        <w:rPr>
          <w:rFonts w:ascii="Times New Roman" w:cs="Times New Roman" w:eastAsia="Times New Roman" w:hAnsi="Times New Roman"/>
          <w:sz w:val="18"/>
          <w:szCs w:val="18"/>
          <w:color w:val="auto"/>
        </w:rPr>
        <w:t xml:space="preserve">”) shall be executed, authenticated and delivered from time to time in accordance with the provisions of, and shall in all respects be subject to, the terms and conditions and covenants of, the Original Indenture and this Twenty-Second Supplemental Indenture (including the form of Series FF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aggregate principal amount of the Series FF Notes that will initially be authenticated and delivered under this Twenty-Second Supplemental Indenture shall not, except as permitted by the provisions of the Original Indenture, exceed $700,000,000. Additional Series FF Notes, without limitation as to amount, having substantially the same terms as the Series FF Notes (except a different issue date, issue price and bearing interest from the last Interest Payment Date to which interest has been paid or duly provided for on the Outstanding Series FF Notes, and, if no interest has been paid, from April 18, 2024) may also be issued by the Company pursuant to this Twenty-Second Supplemental Indenture without the consent of the existing Holders of the Series FF Notes, provided that an Event of Default has not occurred and is continuing with respect to the Series FF Notes. Such additional Series FF Notes shall be consolidated and form a part of the same series as the outstanding Series FF Notes.</w:t>
      </w:r>
    </w:p>
    <w:p>
      <w:pPr>
        <w:spacing w:after="0" w:line="194"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Form of Series FF Notes; Incorporation of Terms.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Series FF Notes shall be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terms of the Series FF Notes contained in such form are hereby incorporated herein by reference and are made a part of this Twenty-Second Supplemental Indenture.</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Global Security; Depositary for Global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FF Notes shall be issued initially in the form of a Global Security. The Depositary for any Global Securities of the series of which the Series FF Notes are a part shall be The Depository Trust Company, New York, New York.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Limitation on Liens.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1007 of the Original Indenture shall be applicable to the Series FF Notes.</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Sale and Leaseback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1012 of the Original Indenture shall be applicable to the Series FF Notes.</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Place of Payment.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Place of Payment in respect of the Series FF Notes shall be at the Corporate Trust Office, which, at the date hereof, is located at 500 Ross Street, 12th Floor, Pittsburgh, Pennsylvania 15262, Attention: Corporate Trust Administration.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and Issuance of the Senior Notes, Series GG, Due 2034</w:t>
      </w:r>
    </w:p>
    <w:p>
      <w:pPr>
        <w:spacing w:after="0" w:line="20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Issue of Series GG Notes.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series of Securities which shall be designated the “Senior Notes, Series GG, Due 2034” (the “</w:t>
      </w:r>
      <w:r>
        <w:rPr>
          <w:rFonts w:ascii="Times New Roman" w:cs="Times New Roman" w:eastAsia="Times New Roman" w:hAnsi="Times New Roman"/>
          <w:sz w:val="18"/>
          <w:szCs w:val="18"/>
          <w:u w:val="single" w:color="auto"/>
          <w:color w:val="auto"/>
        </w:rPr>
        <w:t>Series GG Notes</w:t>
      </w:r>
      <w:r>
        <w:rPr>
          <w:rFonts w:ascii="Times New Roman" w:cs="Times New Roman" w:eastAsia="Times New Roman" w:hAnsi="Times New Roman"/>
          <w:sz w:val="18"/>
          <w:szCs w:val="18"/>
          <w:color w:val="auto"/>
        </w:rPr>
        <w:t xml:space="preserve">”) shall be executed, authenticated and delivered from time to time in accordance with the provisions of, and shall in all respects be subject to, the terms and conditions and covenants of, the Original Indenture and this Twenty-Second Supplemental Indenture (including the form of Series GG Note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aggregate principal amount of the Series GG Notes that will initially be authenticated and delivered under this Twenty-Second Supplemental Indenture shall not, except as permitted by the provisions of the Original Indenture, exceed $700,000,000. Additional Series GG Notes, without limitation as to amount, having substantially the same terms as the Series GG Notes (except a different issue date, issue price and bearing interest from the last Interest Payment Date to which interest has been paid or duly provided for on the Outstanding Series GG Notes, and, if no interest has been paid, from April 18, 2024) may also be issued by the Company pursuant to this Twenty-Second Supplemental Indenture without the consent of the existing Holders of the Series GG Notes, provided that an Event of Default has not occurred and is continuing with respect to the Series GG Notes. Such additional Series GG Notes shall be consolidated and form a part of the same series as the outstanding Series GG Notes.</w:t>
      </w:r>
    </w:p>
    <w:p>
      <w:pPr>
        <w:spacing w:after="0" w:line="194"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Form of Series GG Notes; Incorporation of Terms.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Series GG Notes shall be in substantially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terms of the Series GG Notes contained in such form are hereby incorporated herein by reference and are made a part of this Twenty-Second Supplemental Indenture.</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Global Security; Depositary for Global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Series GG Notes shall be issued initially in the form of a Global Security. The Depositary for any Global Securities of the series of which the Series GG Notes are a part shall be The Depository Trust Company, New York, New York.</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Limitation on Liens.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1007 of the Original Indenture shall be applicable to the Series GG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Sale and Leaseback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1012 of the Original Indenture shall be applicable to the Series GG Notes.</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Place of Payment.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Place of Payment in respect of the Series GG Notes shall be at the Corporate Trust Office, which, at the date hereof, is located at 500 Ross Street, 12th Floor, Pittsburgh, Pennsylvania 15262, Attention: Corporate Trust Administration.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Redemption of Series FF Notes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Series FF Notes Par Call Date (defined below), the Company may redeem the Series FF Notes at its option, in whole or in part, at any time and from time to time, on not less than 10 nor more than 60 days’ prior written notice mailed (or delivered by electronic transmission in accordance with the applicable procedures of DTC) to the holders of the Series FF Notes, at a redemption price (expressed as a percentage of principal amount and rounded to three decimal places) equal to the greater of:</w:t>
      </w:r>
    </w:p>
    <w:p>
      <w:pPr>
        <w:spacing w:after="0" w:line="180" w:lineRule="exact"/>
        <w:rPr>
          <w:sz w:val="20"/>
          <w:szCs w:val="20"/>
          <w:color w:val="auto"/>
        </w:rPr>
      </w:pPr>
    </w:p>
    <w:p>
      <w:pPr>
        <w:jc w:val="both"/>
        <w:ind w:left="1300" w:hanging="320"/>
        <w:spacing w:after="0" w:line="257"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Series FF Notes to be redeemed discounted to the redemption date (assuming the Series FF Notes matured on the Series FF Notes Par Call Date) on a semi-annual basis (assuming a 360-day year consisting of twelve 30-day months) at the Treasury Rate (as defined herein) plus 20 basis points less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interest accrued to the date of redemption, and</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Series FF Notes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Series FF Notes Par Call Date (defined below), the Company may redeem the Series FF Notes, in whole or in part, at any time and from time to time, at a redemption price equal to 100% of the principal amount of the Series FF Notes being redeemed plus accrued and unpaid interest thereon to, but excluding, the redemption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Redemption of Series GG Notes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Series GG Notes Par Call Date (defined below), the Company may redeem the Series GG Notes at its option, in whole or in part, at any time and from time to time, on not less than 10 nor more than 60 days’ prior written notice mailed (or delivered by electronic transmission in accordance with the applicable procedures of DTC) to the holders of the Series GG Notes, at a redemption price (expressed as a percentage of principal amount and rounded to three decimal places) equal to the greater of:</w:t>
      </w:r>
    </w:p>
    <w:p>
      <w:pPr>
        <w:spacing w:after="0" w:line="180" w:lineRule="exact"/>
        <w:rPr>
          <w:sz w:val="20"/>
          <w:szCs w:val="20"/>
          <w:color w:val="auto"/>
        </w:rPr>
      </w:pPr>
    </w:p>
    <w:p>
      <w:pPr>
        <w:jc w:val="both"/>
        <w:ind w:left="1300" w:hanging="320"/>
        <w:spacing w:after="0" w:line="257"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Series GG Notes to be redeemed discounted to the redemption date (assuming the Series GG Notes matured on the Series GG Notes Par Call Date) on a semi-annual basis (assuming a 360-day year consisting of twelve 30-day months) at the Treasury Rate (as defined herein) plus 25 basis points less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interest accrued to the date of redemption, and</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Series GG Notes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after the Series GG Notes Par Call Date (defined below), the Company may redeem the Series GG Notes, in whole or in part, at any time and from time to time, at a redemption price equal to 100% of the principal amount of the Series GG Notes being redeemed plus accrued and unpaid interest thereon to, but excluding, the redemption date.</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Definitions Applicable to Redemption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Article Four:</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FF Notes Par Call Date</w:t>
      </w:r>
      <w:r>
        <w:rPr>
          <w:rFonts w:ascii="Times New Roman" w:cs="Times New Roman" w:eastAsia="Times New Roman" w:hAnsi="Times New Roman"/>
          <w:sz w:val="18"/>
          <w:szCs w:val="18"/>
          <w:color w:val="auto"/>
        </w:rPr>
        <w:t>” means, February 15, 2031 (the date that is two months prior to the maturity date of the Series FF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GG Notes Par Call Date</w:t>
      </w:r>
      <w:r>
        <w:rPr>
          <w:rFonts w:ascii="Times New Roman" w:cs="Times New Roman" w:eastAsia="Times New Roman" w:hAnsi="Times New Roman"/>
          <w:sz w:val="18"/>
          <w:szCs w:val="18"/>
          <w:color w:val="auto"/>
        </w:rPr>
        <w:t>” means, April 15, 2034 (the date that is three months prior to the maturity date of the Series GG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in the case of the Series FF Notes, the Series FF Notes Par Call Date, or, in the case of the Series GG Notes, the Series GG Notes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in the case of the Series FF Notes, the Series FF Notes Par Call Date, or, in the case of the Series GG Notes, the Series GG Notes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in the case of the Series FF Notes, the Series FF Notes Par Call Date, or, in the case of the Series GG Notes, the Series GG Notes Par Call Date, as applicable. If there is no United States Treasury security maturing on in the case of the Series FF Notes, the Series FF Notes Par Call Date, or, in the case of the Series GG Notes, the Series GG Notes Par Call Date but there are two or more United States Treasury securities with a maturity date equally distant from the Series FF Notes Par Call Date or the Series GG Notes Par Call Date, as applicable, one with a maturity date preceding the Series FF Notes Par Call Date or the Series GG Notes Par Call Date, as applicable, and one with a maturity date following the Series FF Notes Par Call Date or the Series GG Notes Par Call Date, as applicable, the Company shall select the United States Treasury security with a maturity date preceding in the case of the Series FF Notes, the Series FF Notes Par Call Date, or, in the case of the Series GG Notes, the Series GG Notes Par Call Date. If there are two or more United States Treasury securities maturing on in the case of the Series FF Notes, the Series FF Notes Par Call Date, or, in the case of the Series GG Notes, the Series GG Notes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shall have no responsibility to calculate the redemption price.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Series FF Notes or Series GG Notes, as applicable, to be redeemed.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Series FF Notes or the Series GG Notes, as applicable, for redemption will be made by lot or pursuant to the applicable depositary’s procedures. No notes of a principal amount of $2,000 or less will be redeemed in part. If any Series FF Note or Series GG Note is to be redeemed in part only, the notice of redemption that relates to such Series FF Note or Series GG Note will state the portion of the principal amount of the Series FF Note or Series GG Note, as applicable, to be redeemed. A new Series FF Note or Series GG Note, as applicable, in a principal amount equal to the unredeemed portion of the Series FF Note or Series GG Note, as applicable, will be issued in the name of the holder of the Series FF Note or Series GG Note, as applicable, upon surrender for cancellation of the original Series FF Note or Series GG Note, as applicable. For so long as the Series FF Notes or Series GG Notes, as applicable, are held by DTC (or another depositary), the redemption of the Series FF Notes or Series GG Notes, as applicable, shall be done in accordance with the policies and procedures of the depositary.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Series FF Notes or Series GG Notes, as applicable, or portions thereof called for redemption. Prior to any redemption date, the Company is required to deposit with a paying agent money sufficient to pay the redemption price of and accrued interest on the Series FF Notes or the Series GG Notes, as applicable, to be redeemed on such date.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redemption may, at the Company’s discretion, be subject to one or more conditions precedent, including, but not limited to, the completion or occurrence of a related transaction or event, as the case may be, and any notice of redemption made in connection with a related transaction or event may, at the Company’s discretion, be given prior to the completion or the occurrence thereof. If such redemption is subject to satisfaction of one or more conditions precedent, such notice will describe each such condition, and if applicable, will state that, at the Company’s discretion, the redemption date may be delayed until such time (including more than 60 days after the date the notice of redemption was mailed or delivered, including by electronic transmission) as any or all such conditions are satisfied (or waived by the Company in its sole discretion), or that such redemption may not occur and such notice may be rescinded in the event that any or all such conditions are not satisfied (or waived by the Company in its sole discretion) by the redemption date, or by the redemption date as so delayed, or that such notice may be rescinded at any time in the Company’s discretion if in its good faith judgment any or all of such conditions will not be satisfied. If any such condition precedent has not been satisfied, the Company shall provide written notice prior to the close of business on the business day immediately prior to the redemption date. Upon receipt of such notice, the notice of redemption shall be rescinded or delayed, and the redemption of the Series FF Notes or the Series GG Notes, as applicable, shall be rescinded or delayed as provided in such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Provisions of the Original Indenture Solely Applicable to the Series FF Notes and Series GG Notes</w:t>
      </w:r>
    </w:p>
    <w:p>
      <w:pPr>
        <w:spacing w:after="0" w:line="20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u w:val="single" w:color="auto"/>
          <w:color w:val="auto"/>
        </w:rPr>
        <w:t>Section 101 of the Original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Solely with respect to the Series FF Notes and Series GG Notes, the following definition shall be added after the definition of “Discharged”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101:</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Section 105 of the Original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Solely with respect to the Series FF Notes and Series GG Notes, the following paragraph shall be added at the end of Section 105:</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given pursuant to this Indenture and delivered using Electronic Means; provided, however, that the Company shall provide to the Trustee an incumbency certificate listing officers with the authority to provide such Instructions (“</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1"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Section 401 of the Original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401 of the Original Indenture shall not apply to the Series FF Notes or the Series GG Notes. Section 401 of the Original Indenture is hereby amended in its entirety with respect to the Series FF Notes and Series GG Notes to state: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and the Trustee, at the expense of the Company, shall execute proper instruments acknowledging satisfaction and discharge of this Indenture, when</w:t>
      </w:r>
    </w:p>
    <w:p>
      <w:pPr>
        <w:spacing w:after="0" w:line="162" w:lineRule="exact"/>
        <w:rPr>
          <w:sz w:val="20"/>
          <w:szCs w:val="20"/>
          <w:color w:val="auto"/>
        </w:rPr>
      </w:pPr>
    </w:p>
    <w:p>
      <w:pPr>
        <w:jc w:val="both"/>
        <w:ind w:left="1300" w:hanging="656"/>
        <w:spacing w:after="0" w:line="254"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all Securities theretofore authenticated and delivered (other than (x) Securities which have been destroyed, lost or stolen and which have been replaced or paid as provided in Section 306 hereof and (y) Securities for whose payment money has theretofore been deposited in trust or segregated and held in trust by the Company and thereafter repaid to the Company or discharged from such trust, as provided in Section 1003 hereof) have been delivered to the Trustee for cancellation; or (B) all such Securities not theretofore delivered to the Trustee for cancellation have become due and payable and the Company has irrevocably deposited or caused to be irrevocably deposited (in each case except as provided in Section 402(c) hereof and the last paragraph of Section 1003 hereof) with the Paying Agent or with the Trustee as trust funds in trust for the purpose an amount of money sufficient to pay and discharge, or has otherwise paid, the entire Indebtedness on such Securities for principal and interest, if any;</w:t>
      </w:r>
    </w:p>
    <w:p>
      <w:pPr>
        <w:spacing w:after="0" w:line="188"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provided, however, that if the Trustee or any Paying Agent is required to return any money deposited with it as described in this Section 401 to the Company or its representative under any applicable Federal or state bankruptcy, insolvency or similar law, this Indenture shall retroactively be deemed not to have been satisfied and discharged and automatically shall be reinstated and shall remain in full force and effect without any further action, but the Company shall execute and deliver such instruments as the Trustee shall reasonably request to evidence and acknowledge the same.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hereof, the obligations of the Trustee to any Authenticating Agent under Section 614 hereof and, if money shall have been deposited with the Paying Agent or the Trustee pursuant to subclause (B) of clause (1) of this Section 401, the obligations of the Company and the Trustee under Sections 401, 402, 1002 and 1003 hereof shall survive.”</w:t>
      </w:r>
    </w:p>
    <w:p>
      <w:pPr>
        <w:spacing w:after="0" w:line="18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Section 403 of the Original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403 of the Original Indenture shall not apply to the Series FF Notes or the Series GG Notes. Section 403 of the Original Indenture is hereby amended in its entirety with respect to the Series FF Notes and Series GG Notes to state: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Satisfaction, Discharge and Defeasance of the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be deemed to have paid and Discharged the entire Indebtedness on all the Outstanding Notes upon the deposit referred to in subparagraph (1) hereof, and the provisions of this Indenture, as they relate to such Outstanding Notes, shall no longer be in effect (and the Trustee, at the expense of the Company, shall at Company Request execute proper instruments acknowledging the same), except as to:</w:t>
      </w:r>
    </w:p>
    <w:p>
      <w:pPr>
        <w:spacing w:after="0" w:line="176" w:lineRule="exact"/>
        <w:rPr>
          <w:sz w:val="20"/>
          <w:szCs w:val="20"/>
          <w:color w:val="auto"/>
        </w:rPr>
      </w:pPr>
    </w:p>
    <w:p>
      <w:pPr>
        <w:jc w:val="both"/>
        <w:ind w:left="1300" w:hanging="656"/>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Notes to receive, from the trust funds described in subparagraph (1) hereof, payment of the principal of (and premium, if any) or interest, if any, on the Outstanding Notes on the Stated Maturity; or to and including the Redemption Date irrevocably designated by the Company pursuant to subparagraph (4) hereof;</w:t>
      </w:r>
    </w:p>
    <w:p>
      <w:pPr>
        <w:spacing w:after="0" w:line="175"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Notes under Sections 305, 306, 1002 and 1003 hereof and, if the Company shall have irrevocably designated a Redemption Date pursuant to subparagraph (5) hereof, Sections 1101, 1104 and 1106 hereof as they apply to such Redemption Date;</w:t>
      </w:r>
    </w:p>
    <w:p>
      <w:pPr>
        <w:spacing w:after="0" w:line="17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the Trustee under Section 607 hereof; and</w:t>
      </w:r>
    </w:p>
    <w:p>
      <w:pPr>
        <w:spacing w:after="0" w:line="225"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 and the duties of the Trustee under Section 402 hereof and, if the Company shall have irrevocably designated a Redemption Date pursuant to subparagraph (5) hereof, Article 11 and the duty of the Trustee to authenticate Notes on registration of transfer or exchange;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jc w:val="both"/>
        <w:ind w:left="1300" w:hanging="656"/>
        <w:spacing w:after="0" w:line="253"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irrevocably deposited or caused to be irrevocably deposited (in each case except as provided in Section 402(c) hereof and the last paragraph of Section 1003 hereof) with the Trustee as trust funds in trust, specifically pledged as security for, and dedicated solely to, the benefit of the Holders of the Notes, an amount of (i) money, or (ii) U.S. Government Obligations or a combination of money and U.S. Government Obligations, in each case sufficient, in the opinion of a nationally recognized firm of independent certified public accountants expressed in a written certification thereof delivered to the Trustee, to pay and discharge, and which the Trustee shall be instructed to apply to pay and discharge, the principal of and interest, if any, on the Notes on the Stated Maturity or to and including the Redemption Date irrevocably designated by the Company pursuant to subparagraph (4) hereof; provided, however, that (A) all money and U.S. Government Obligations deposited pursuant to this Section 403 shall be denominated in U.S. Dollars; and (B) U.S. Government Obligations shall be valued at the amount of money that they will provide through the payment of principal and interest in respect thereof in accordance with their terms no later than one day prior to the Stated Maturity or such Redemption Date, and shall not contain provisions permitting the redemption or other prepayment at the option of the issuer thereof prior to the Stated Maturity or such Redemption Date;</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7" w:name="page48"/>
    <w:bookmarkEnd w:id="47"/>
    <w:p>
      <w:pPr>
        <w:ind w:left="1300" w:right="20" w:hanging="656"/>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would become an Event of Default (including by reason of such deposit) with respect to the Notes shall have occurred and be continuing on the date of such deposit;</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unqualified opinion, in form and substance reasonably acceptable to the Trustee, of independent counsel of national standing selected by the Company and satisfactory to the Trustee to the effect that (i) Holders of the Notes will not recognize income, gain or loss for Federal income tax purposes as a result of the deposit, defeasance and discharge, which opinion shall be based on a change in law or a ruling by the U.S. Internal Revenue Service after the date hereof and (ii) the defeasance trust is not, or is registered as, an investment company under the Investment Company Act of 1940;</w:t>
      </w:r>
    </w:p>
    <w:p>
      <w:pPr>
        <w:spacing w:after="0" w:line="183" w:lineRule="exact"/>
        <w:rPr>
          <w:rFonts w:ascii="Times New Roman" w:cs="Times New Roman" w:eastAsia="Times New Roman" w:hAnsi="Times New Roman"/>
          <w:sz w:val="18"/>
          <w:szCs w:val="18"/>
          <w:color w:val="auto"/>
        </w:rPr>
      </w:pPr>
    </w:p>
    <w:p>
      <w:pPr>
        <w:jc w:val="both"/>
        <w:ind w:left="1300" w:hanging="656"/>
        <w:spacing w:after="0" w:line="255"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deposited or caused to be deposited money or U.S. Government Obligations to pay or discharge the principal of (and premium, if any) and interest, if any, on the Outstanding Securities of a series to and including a Redemption Date on which all of the Outstanding Securities of such series are to be redeemed, such Redemption Date shall be irrevocably designated by a Board Resolution delivered to the Trustee on or prior to the date of deposit of such money or U.S. Government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 hereof;</w:t>
      </w:r>
    </w:p>
    <w:p>
      <w:pPr>
        <w:spacing w:after="0" w:line="188"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the Securities have been complied with.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condition set forth in clause (i) of subparagraph (3) hereof shall not apply if the Company shall have complied with the remaining conditions of subparagraphs 1-5 hereof as of a date which is no more than 60 days prior to the maturity date.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Anything herein to the contrary notwithstanding, (a) if the Trustee or any Paying Agent is required to return any money or U.S. Government Obligations deposited with it pursuant to this Section 403 to the Company or its representative under any Federal or state bankruptcy, insolvency or similar law, such Security shall thereupon be deemed retroactively not to have been paid and any satisfaction and discharge of the Company’s Indebtedness in respect thereof shall retroactively be deemed not to have been effected, and such Security shall be deemed to remain Outstanding and the provisions of the Indenture relating to such Security shall be reinstated and shall remain in full force and effect and (b) any satisfaction and discharge of the Company’s Indebtedness in respect of any Security shall be subject to the provisions of the last paragraph of Section 1003.”</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8"/>
          <w:szCs w:val="18"/>
          <w:u w:val="single" w:color="auto"/>
          <w:color w:val="auto"/>
        </w:rPr>
        <w:t>Section 1009 of the Original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Subparagraph (1) of Section 1009 of the Original Indenture shall not apply to the Series FF Notes or the Series GG Notes. Subparagraph (1)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1009 of the Original Indenture is hereby amended in its entirety with respect to the Series FF Notes and Series GG Notes to state:</w:t>
      </w:r>
    </w:p>
    <w:p>
      <w:pPr>
        <w:spacing w:after="0" w:line="20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“the Company has irrevocably deposited or caused to be irrevocably deposited (in each case except as provided in Section 402(c) hereof and the last paragraph of Section 1003 hereof) with the Trustee (specifying that each deposit is pursuant to this Section 1009) as trust funds in trust, specifically pledged as security for, and dedicated solely to, the benefit of the Holders of the Notes, an amount of (i) money or (ii) U.S. Government Obligations or a combination of money and U.S. Government Obligations, in each case sufficient, in the opinion of a nationally recognized firm of independent certified public accountants expressed in a written certification thereof delivered to the Trustee, to pay and discharge, and which the Trustee shall be instructed to apply to pay and discharge, the principal of and each installment of principal and interest, if any, on the Notes on the Stated Maturity of such principal or to and including the Redemption Date irrevocably designated by the Company pursuant to subparagraph (4) of this Section 1009; provided, however, that (A) all money and U.S. Government Obligations deposited pursuant to this Section 1009 shall be denominated in U.S. Dollars; and (B) U.S. Government Obligations shall be valued at the amount of money that they will provide through the payment of principal and interest in respect thereof in accordance with their terms no later than one day prior to the Stated Maturity or such Redemption Date and shall not contain provisions permitting the redemption or other prepayment at the option of the issuer thereof prior to the Stated Maturity;”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Execution as Supplemental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Twenty-Second Supplemental Indenture is executed and shall be construed as an indenture supplemental to the Original Indenture and, as provided in the Original Indenture, this Twenty-Second Supplemental Indenture forms a part thereof.</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u w:val="single" w:color="auto"/>
          <w:color w:val="auto"/>
        </w:rPr>
        <w:t>Conflict with Trust Indenture Act.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hereof limits, qualifies or conflicts with another provision hereof which is required to be included in this Twenty-Second Supplemental Indenture by any of the provisions of the Trust Indenture Act, such required provision shall control.</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Effect of Headings.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Article and Section headings herein are for convenience only and shall not affect the construction hereof.</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Successors and Assigns.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covenants and agreements by the Company in this Twenty-Second Supplemental Indenture shall bind its successors and assigns, whether so expressed or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Separability Clause.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Twenty-Second Supplemental Indenture or in the Series FF Notes or the Series GG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u w:val="single" w:color="auto"/>
          <w:color w:val="auto"/>
        </w:rPr>
        <w:t>Benefits of Twenty-Second Supplemental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Twenty-Second Supplemental Indenture or in the Series FF Notes or the Series GG Notes, express or implied, shall give to any Person, other than the parties hereto and their successors hereunder and the Holders, any benefit or any legal or equitable right, remedy or claim under this Twenty-Second Supplemental Indenture.</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Trustee.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have no responsibility for the recitals contained in this Twenty-Second Supplemental Indenture, all of which shall be taken as the statements of the Company, or for the validity or sufficiency of this Twenty-Second Supplemental Indenture. In acting hereunder, the Trustee shall have the rights, protections and immunities granted to it under the Original Indenture.</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Twenty-Second Supplemental Indenture shall be governed by and construed in accordance with the laws of the State of New York.</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8"/>
          <w:szCs w:val="18"/>
          <w:u w:val="single" w:color="auto"/>
          <w:color w:val="auto"/>
        </w:rPr>
        <w:t>Execution and Counterparts.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Twenty-Second Supplemental Indenture may be executed in any number of counterparts, each of which shall be deemed to be an original, but all such counterparts shall together constitute but one and the same instrument.</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Liability of Trustees and Shareholders.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Declaration of Trust of the Company provides that no shareholder of the Company shall be held to any liability whatever for the payment of any sum of money, or for damages or otherwise under any contract, obligation or undertaking made, entered into or issued by the trustees of the Company or by any officer, agent or representative elected or appointed by the trustees and no such contract, obligation or undertaking shall be enforceable against the trustees or any of them in their or his individual capacities or capacity and all such contracts, obligations and undertakings shall be enforceable only against the trustees as such, and every person, firm, association, trust and corporation having any claim or demand arising out of any such contract, obligation or undertaking shall look only to the trust estate for the payment or satisfaction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Certain Tax Matters.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Trustee shall be entitled to deduct FATCA Withholding Tax, and shall have no obligation to gross-up any payment thereunder or to pay any additional amount as a result of such FATCA Withholding Tax. The Company hereby covenants with the Trustee that it will provide the Trustee with sufficient information so as to enable the determination of whether any payments pursuant to this Twenty-Second Supplemental Indenture are subject to the withholding requirements described in Section 1471(a)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otherwise imposed pursuant to Sections 1471 through 1474 of the Code and any regulations, or agreements thereunder or official interpretations thereof (“</w:t>
      </w:r>
      <w:r>
        <w:rPr>
          <w:rFonts w:ascii="Times New Roman" w:cs="Times New Roman" w:eastAsia="Times New Roman" w:hAnsi="Times New Roman"/>
          <w:sz w:val="18"/>
          <w:szCs w:val="18"/>
          <w:u w:val="single" w:color="auto"/>
          <w:color w:val="auto"/>
        </w:rPr>
        <w:t>FATCA 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u w:val="single" w:color="auto"/>
          <w:color w:val="auto"/>
        </w:rPr>
        <w:t>Economic Sanctions.</w:t>
      </w:r>
    </w:p>
    <w:p>
      <w:pPr>
        <w:spacing w:after="0" w:line="225" w:lineRule="exact"/>
        <w:rPr>
          <w:sz w:val="20"/>
          <w:szCs w:val="20"/>
          <w:color w:val="auto"/>
        </w:rPr>
      </w:pPr>
    </w:p>
    <w:p>
      <w:pPr>
        <w:jc w:val="both"/>
        <w:ind w:firstLine="656"/>
        <w:spacing w:after="0" w:line="261" w:lineRule="auto"/>
        <w:tabs>
          <w:tab w:leader="none" w:pos="14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represents that neither it nor any of its affiliates, subsidiaries, directors or officers will directly or indirectly use any payments made pursuant to this Twenty-Second Supplemental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Twenty-Second Supplemental Indenture to be duly executed, all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Emilie G.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Emilie G. O’Neil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 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C.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C. Jenkins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Face of Global Security]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LIMITED CIRCUMSTANCES.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Eversource Energy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 SERIES FF, DUE 2031</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30040WBA5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11" w:lineRule="exact"/>
        <w:rPr>
          <w:sz w:val="20"/>
          <w:szCs w:val="20"/>
          <w:color w:val="auto"/>
        </w:rPr>
      </w:pPr>
    </w:p>
    <w:p>
      <w:pPr>
        <w:sectPr>
          <w:pgSz w:w="11900" w:h="16838" w:orient="portrait"/>
          <w:cols w:equalWidth="0" w:num="2">
            <w:col w:w="9540" w:space="720"/>
            <w:col w:w="9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EVERSOURCE ENERGY, a voluntary association duly organized and existing under the laws of the Commonwealth of Massachusetts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entity under the Indenture hereinafter referred to), for value received, hereby promises to pay to Cede &amp; Co., or registered assigns, the principal sum of ________________________ ($__________) on April 15, 2031 (the “</w:t>
      </w: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and to pay interest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thereon from April 18, 2024 or from the most recent Interest Payment Date to which interest has been paid or duly provided for, semi-annually in arrears on April 15 and October 15 of each year, commencing on October 15, 2024, at the rate of 5.85% per annum, until the principal hereof is paid or made available for payment and, subject to the terms of the Indenture, at the same rate on any overdue principal and premium and (to the extent that the payment of such interest shall be legally enforceable) on any overdue installment of interest.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of interest payable for any period other than a complete interest payment period will be computed on the basis of a 360-day year consisting of twelve thirty-day months and, for any period shorter than a full month, on the basis of the actual number of days elapsed in such period. In any case where any Interest Payment Date, the Stated Maturity or Redemption Date is not a Business Day, then payment of principal and interest, if any, or principal and premium, if any, payable on such date will be made on the next succeeding day which is a Business Day (and without any interest or other payment in respect of any such delay), in each case with the same force and effect as if made on such date. A “Business Day” shall mean any day, except a Saturday, a Sunday or a legal holiday in New York, New York or in Pittsburgh, Pennsylvania on which banking institutions are authorized or required by law, regulation or executive order to close.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the Indenture, be paid to the Person in whose name this Security is registered at the close of business on the Regular Record Date for such interest, which shall be (1) the Business Day next preceding such Interest Payment Date if this Security remains in book-entry only form or (2) the 15th calendar day (whether or not a Business Day) next preceding such Interest Payment Date if this Security does not remain in book-entry only form. Any such interest not so punctually paid or duly provided for will forthwith cease to be payable to the Holder on such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of the principal of (and premium, if any) and any interest on this Security will be made at the office or agency of the Company maintained for that purpose at the Corporate Trust Office of the Trustee in Pittsburgh, Pennsylvania,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has initially been issued in the form of a Global Security, and the Company has initially designated The Depository Trust Company, New York, New York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which term shall include any successor depositary), as the Depositary for this Security. For as long as this Security or any portion hereof is issued in such form, and notwithstanding the previous paragraph, all payments of interest, principal and other amounts in respect of this Security or portion thereof shall be made to the Depositary or its nominee in accordance with its applicable policies and procedures, in the coin or currency specified above and as further provided on the reverse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 Unless the certificate of authentication hereon has been executed by the Trustee referred to on the reverse hereof by manual or electronic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Global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 SERIES FF, DUE 2031</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April 1, 2002, as amended and supplemented from time to time and as supplemented by the Twenty-Second Supplemental Indenture dated as of April 1, 2024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which term shall have the meaning assigned to it in such instrument), between the Company and The Bank of New York Mellon Trust Company, N.A., formerly known as The Bank of New York Trust Company, N.A. (as successor trustee to The Bank of New York),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Indenture), as to which Indenture and all indentures supplemental thereto reference is hereby made for a statement of the respective rights, limitations of rights, duties and immunities thereunder of the Company, the Trustee and the Holders and of the terms upon which the Securities are, and are to be, authenticated and delivered. This Security is one of the series designated on the face hereof, initially limited in aggregate principal amount to $__________. The provisions</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of this Security, together with the provisions of the Indenture, shall govern the rights, obligations, duties and immunities of the Holder, the Company and the Trustee with respect to this Security, provided that, if any provision of this Security conflicts with any provision of the Indenture, the provision of this Security shall be controlling to the fullest extent permitted under the Indenture.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subject to redemption upon not less than ten (10) or more than sixty (60) days’ notice by mail to the Holders of such securities at their addresses in the Security Register, at the option of the Company, in whole or in part, from time to time. If the Company elects to redeem the Securities, it will do so at a Redemption Price set forth in Section 401 of the Twenty-Second Supplemental Indenture between the Company and the Trustee, dated April 1, 2024, which established the terms of the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Indenture, if notice has been given as provided in the Indenture and funds for the redemption of any Securities (or any portion thereof) called for redemption shall have been made available on the Redemption Date referred to in such notice, such Securities (or any portion thereof) will cease to bear interest on the date fixed for such redemption specified in such notice and the only right of the Holders of such Securities will be to receive payment of the Redemption Price.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will not be subject to any sinking fund.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all series to be affected (voting as one class).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 place and rate, and in the coin or currency, herein prescribed.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shall be exchangeable for Securities registered in the names of Persons other than the Depositary with respect to such series or its nominee only as provided in this paragraph. This Security shall be so exchangeable if (x) the Depositary notifies the Company that it is unwilling or unable to continue as Depositary for such series or at any time ceases to be a clearing agency registered as such under the Securities Exchange Act of 1934, (y) the Company executes and delivers to the Trustee an Officers’ Certificate providing that this Security shall be so exchangeable or (z) there shall have occurred and be continuing an Event of Default with respect to the Securities of the series of which this Security is a part. Securities so issued in exchange for this Security shall be of the same series, having the same interest rate, if any, and maturity and having the same terms as this Security, in authorized denominations and in the aggregate having the same principal amount as this Security and registered in such names as the Depositary for such Global Security shall direct.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a Security of the series of which this Security is a part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the series of which this Security is a part are issuable only in registered form without coupons in minimum denominations of $2,000 and integral multiples of $1,000 thereafter.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so long as this Security is issued in the form of a Global Security, neither the Company nor the Trustee will have any responsibility with respect to the policies and procedures of the Depositary or for any notices or other communications among the Depositary, its direct and indirect participants or the beneficial owners of this Security.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give any notice nor any defect in any notice given to the Holder of this Security or any other Security of this series will affect the sufficiency of any notice given to any other Holder of any Securities of this series.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at its option (a) will be discharged from any and all obligations in respect of the Securities (except for certain obligations to register the transfer or exchange of Securities, replace stolen, lost or mutilated Securities, maintain paying agencies and hold moneys for payment in trust) or (b) need not comply with certain restrictive covenants of the Indenture, in each case if the Company deposits, in trust, with the Trustee money or U.S. Government Obligations which, through the payment of interest thereon and principal thereof in accordance with their terms, will provide money, in an amount sufficient to pay all the principal of and premium, if any and interest, if any, on the Securities on the dates such payments are due in accordance with the terms of such Securities, and certain other conditions are satisfied.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the interest on this Security, or for any claim based hereon, or otherwise in respect hereof, or based on or in respect of the Indenture or any indenture supplemental thereto, against any trustee, incorporator, stockholder, officer or director, as such, past, present or future, of the Company or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Declaration of Trust of the Company provides that no shareholder of the Company shall be held to any liability whatsoever for the payment of any sum of money, or for damages or otherwise under any contract, obligation or undertaking made, entered into or issued by the trustees of the Company or by any officer, agent or representative elected or appointed by the trustees and no such contract, obligation or undertaking shall be enforceable against the trustees or any of them in their or his individual capacities or capacity and all such contracts, obligations and undertakings shall be enforceable only against the trustees as such, and every person, firm, association, trust and corporation having any claim or demand arising out of any such contract, obligation or undertaking shall look only to the trust estate for the payment or satisfaction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terms used in this Security not defined herein which are defined in the Indenture shall have the meanings assigned to them in the Indenture.</w:t>
      </w:r>
    </w:p>
    <w:p>
      <w:pPr>
        <w:spacing w:after="0" w:line="2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left blank intentionally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980" w:top="904" w:right="61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IN WITNESS WHEREOF, Eversource Energy has caused this instrument to be duly executed.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Emilie G. O’Neil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right="1859" w:firstLine="648"/>
        <w:spacing w:after="0" w:line="498" w:lineRule="auto"/>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 Dated: April 18, 2024</w:t>
      </w:r>
    </w:p>
    <w:p>
      <w:pPr>
        <w:spacing w:after="0" w:line="1" w:lineRule="exact"/>
        <w:rPr>
          <w:sz w:val="20"/>
          <w:szCs w:val="20"/>
          <w:color w:val="auto"/>
        </w:rPr>
      </w:pPr>
    </w:p>
    <w:p>
      <w:pPr>
        <w:ind w:right="4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BANK OF NEW YORK MELLON TRUST COMPANY, N.A., </w:t>
      </w:r>
      <w:r>
        <w:rPr>
          <w:rFonts w:ascii="Times New Roman" w:cs="Times New Roman" w:eastAsia="Times New Roman" w:hAnsi="Times New Roman"/>
          <w:sz w:val="18"/>
          <w:szCs w:val="18"/>
          <w:color w:val="auto"/>
        </w:rPr>
        <w:t>as Trustee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Face of Global Security]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LIMITED CIRCUMSTANCES.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Eversource Energy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 SERIES GG, DUE 2034</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30040WAZ1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00" w:lineRule="exact"/>
        <w:rPr>
          <w:sz w:val="20"/>
          <w:szCs w:val="20"/>
          <w:color w:val="auto"/>
        </w:rPr>
      </w:pPr>
    </w:p>
    <w:p>
      <w:pPr>
        <w:sectPr>
          <w:pgSz w:w="11900" w:h="16838" w:orient="portrait"/>
          <w:cols w:equalWidth="0" w:num="2">
            <w:col w:w="9540" w:space="720"/>
            <w:col w:w="980"/>
          </w:cols>
          <w:pgMar w:left="3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EVERSOURCE ENERGY, a voluntary association duly organized and existing under the laws of the Commonwealth of Massachusetts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entity under the Indenture hereinafter referred to), for value received, hereby promises to pay to Cede &amp; Co., or registered assigns, the principal sum of ________________________ ($__________) on July 15, 2034 (the “</w:t>
      </w: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and to pay interest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thereon from April 18, 2024 or from the most recent Interest Payment Date to which interest has been paid or duly provided for, semi-annually in arrears on January 15 and July 15 of each year, commencing on July 15, 2024, at the rate of 5.95% per annum, until the principal hereof is paid or made available for payment and, subject to the terms of the Indenture, at the same rate on any overdue principal and premium and (to the extent that the payment of such interest shall be legally enforceable) on any overdue installment of interest.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of interest payable for any period other than a complete interest payment period will be computed on the basis of a 360-day year consisting of twelve thirty-day months and, for any period shorter than a full month, on the basis of the actual number of days elapsed in such period. In any case where any Interest Payment Date, the Stated Maturity or Redemption Date is not a Business Day, then payment of principal and interest, if any, or principal and premium, if any, payable on such date will be made on the next succeeding day which is a Business Day (and without any interest or other payment in respect of any such delay), in each case with the same force and effect as if made on such date. A “Business Day” shall mean any day, except a Saturday, a Sunday or a legal holiday in New York, New York or in Pittsburgh, Pennsylvania on which banking institutions are authorized or required by law, regulation or executive order to close.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0" w:name="page61"/>
    <w:bookmarkEnd w:id="6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the Indenture, be paid to the Person in whose name this Security is registered at the close of business on the Regular Record Date for such interest, which shall be (1) the Business Day next preceding such Interest Payment Date if this Security remains in book-entry only form or (2) the 15th calendar day (whether or not a Business Day) next preceding such Interest Payment Date if this Security does not remain in book-entry only form. Any such interest not so punctually paid or duly provided for will forthwith cease to be payable to the Holder on such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of the principal of (and premium, if any) and any interest on this Security will be made at the office or agency of the Company maintained for that purpose at the Corporate Trust Office of the Trustee in Pittsburgh, Pennsylvania,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has initially been issued in the form of a Global Security, and the Company has initially designated The Depository Trust Company, New York, New York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which term shall include any successor depositary), as the Depositary for this Security. For as long as this Security or any portion hereof is issued in such form, and notwithstanding the previous paragraph, all payments of interest, principal and other amounts in respect of this Security or portion thereof shall be made to the Depositary or its nominee in accordance with its applicable policies and procedures, in the coin or currency specified above and as further provided on the reverse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 Unless the certificate of authentication hereon has been executed by the Trustee referred to on the reverse hereof by manual or electronic signature, this Security shall not be entitled to any benefit under the Indenture or be valid or obligatory for any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Global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NOTES, SERIES GG, DUE 2034</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April 1, 2002, as amended and supplemented from time to time and as supplemented by the Twenty-Second Supplemental Indenture dated as of April 1, 2024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which term shall have the meaning assigned to it in such instrument), between the Company and The Bank of New York Mellon Trust Company, N.A., formerly known as The Bank of New York Trust Company, N.A. (as successor trustee to The Bank of New York),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Indenture), as to which Indenture and all indentures supplemental thereto reference is hereby made for a statement of the respective rights, limitations of rights, duties and immunities thereunder of the Company, the Trustee and the Holders and of the terms upon which the Securities are, and are to be, authenticated and delivered. This Security is one of the series designated on the face hereof, initially limited in aggregate principal amount to $__________. The provisions</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of this Security, together with the provisions of the Indenture, shall govern the rights, obligations, duties and immunities of the Holder, the Company and the Trustee with respect to this Security, provided that, if any provision of this Security conflicts with any provision of the Indenture, the provision of this Security shall be controlling to the fullest extent permitted under the Indenture.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subject to redemption upon not less than ten (10) or more than sixty (60) days’ notice by mail to the Holders of such securities at their addresses in the Security Register, at the option of the Company, in whole or in part, from time to time. If the Company elects to redeem the Securities, it will do so at a Redemption Price set forth in Section 402 of the Twenty-Second Supplemental Indenture between the Company and the Trustee, dated April 1, 2024, which established the terms of the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Indenture, if notice has been given as provided in the Indenture and funds for the redemption of any Securities (or any portion thereof) called for redemption shall have been made available on the Redemption Date referred to in such notice, such Securities (or any portion thereof) will cease to bear interest on the date fixed for such redemption specified in such notice and the only right of the Holders of such Securities will be to receive payment of the Redemption Price.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will not be subject to any sinking fund.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all series to be affected (voting as one class).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 place and rate, and in the coin or currency, herein prescribed.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Security shall be exchangeable for Securities registered in the names of Persons other than the Depositary with respect to such series or its nominee only as provided in this paragraph. This Security shall be so exchangeable if (x) the Depositary notifies the Company that it is unwilling or unable to continue as Depositary for such series or at any time ceases to be a clearing agency registered as such under the Securities Exchange Act of 1934, (y) the Company executes and delivers to the Trustee an Officers’ Certificate providing that this Security shall be so exchangeable or (z) there shall have occurred and be continuing an Event of Default with respect to the Securities of the series of which this Security is a part. Securities so issued in exchange for this Security shall be of the same series, having the same interest rate, if any, and maturity and having the same terms as this Security, in authorized denominations and in the aggregate having the same principal amount as this Security and registered in such names as the Depositary for such Global Security shall direct.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a Security of the series of which this Security is a part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of the series of which this Security is a part are issuable only in registered form without coupons in minimum denominations of $2,000 and integral multiples of $1,000 thereafter.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so long as this Security is issued in the form of a Global Security, neither the Company nor the Trustee will have any responsibility with respect to the policies and procedures of the Depositary or for any notices or other communications among the Depositary, its direct and indirect participants or the beneficial owners of this Security.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give any notice nor any defect in any notice given to the Holder of this Security or any other Security of this series will affect the sufficiency of any notice given to any other Holder of any Securities of this series.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at its option (a) will be discharged from any and all obligations in respect of the Securities (except for certain obligations to register the transfer or exchange of Securities, replace stolen, lost or mutilated Securities, maintain paying agencies and hold moneys for payment in trust) or (b) need not comply with certain restrictive covenants of the Indenture, in each case if the Company deposits, in trust, with the Trustee money or U.S. Government Obligations which, through the payment of interest thereon and principal thereof in accordance with their terms, will provide money, in an amount sufficient to pay all the principal of and premium, if any and interest, if any, on the Securities on the dates such payments are due in accordance with the terms of such Securities, and certain other conditions are satisfied.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the interest on this Security, or for any claim based hereon, or otherwise in respect hereof, or based on or in respect of the Indenture or any indenture supplemental thereto, against any trustee, incorporator, stockholder, officer or director, as such, past, present or future, of the Company or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issuance hereof, expressly waived and released.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Declaration of Trust of the Company provides that no shareholder of the Company shall be held to any liability whatsoever for the payment of any sum of money, or for damages or otherwise under any contract, obligation or undertaking made, entered into or issued by the trustees of the Company or by any officer, agent or representative elected or appointed by the trustees and no such contract, obligation or undertaking shall be enforceable against the trustees or any of them in their or his individual capacities or capacity and all such contracts, obligations and undertakings shall be enforceable only against the trustees as such, and every person, firm, association, trust and corporation having any claim or demand arising out of any such contract, obligation or undertaking shall look only to the trust estate for the payment or satisfaction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terms used in this Security not defined herein which are defined in the Indenture shall have the meanings assigned to them in the Indenture.</w:t>
      </w:r>
    </w:p>
    <w:p>
      <w:pPr>
        <w:spacing w:after="0" w:line="2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left blank intentionally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980" w:top="904" w:right="61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IN WITNESS WHEREOF, Eversource Energy has caused this instrument to be duly executed.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EVERSOURCE ENERGY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Emilie G. O’Neil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right="1859" w:firstLine="648"/>
        <w:spacing w:after="0" w:line="498" w:lineRule="auto"/>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 Dated: April 18, 2024</w:t>
      </w:r>
    </w:p>
    <w:p>
      <w:pPr>
        <w:spacing w:after="0" w:line="1" w:lineRule="exact"/>
        <w:rPr>
          <w:sz w:val="20"/>
          <w:szCs w:val="20"/>
          <w:color w:val="auto"/>
        </w:rPr>
      </w:pPr>
    </w:p>
    <w:p>
      <w:pPr>
        <w:ind w:right="4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BANK OF NEW YORK MELLON TRUST COMPANY, N.A., </w:t>
      </w:r>
      <w:r>
        <w:rPr>
          <w:rFonts w:ascii="Times New Roman" w:cs="Times New Roman" w:eastAsia="Times New Roman" w:hAnsi="Times New Roman"/>
          <w:sz w:val="18"/>
          <w:szCs w:val="18"/>
          <w:color w:val="auto"/>
        </w:rPr>
        <w:t>as Trustee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659765" cy="848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765" cy="84899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WWW.ROPESGRAY.COM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Eversource Energy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Cadwell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Springfield, Massachusetts 01104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S-3ASR (File No. 333-264278)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counsel to Eversource Energy, a Massachusetts voluntary association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$700,000,000 aggregate principal amount of its 5.85% Senior Notes, Series FF, Due 2031 (the “</w:t>
      </w:r>
      <w:r>
        <w:rPr>
          <w:rFonts w:ascii="Times New Roman" w:cs="Times New Roman" w:eastAsia="Times New Roman" w:hAnsi="Times New Roman"/>
          <w:sz w:val="18"/>
          <w:szCs w:val="18"/>
          <w:u w:val="single" w:color="auto"/>
          <w:color w:val="auto"/>
        </w:rPr>
        <w:t>Series FF Notes</w:t>
      </w:r>
      <w:r>
        <w:rPr>
          <w:rFonts w:ascii="Times New Roman" w:cs="Times New Roman" w:eastAsia="Times New Roman" w:hAnsi="Times New Roman"/>
          <w:sz w:val="18"/>
          <w:szCs w:val="18"/>
          <w:color w:val="auto"/>
        </w:rPr>
        <w:t>”) and (ii) $700,000,000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its 5.95% Senior Notes, Series GG, Due 2034 (the “</w:t>
      </w:r>
      <w:r>
        <w:rPr>
          <w:rFonts w:ascii="Times New Roman" w:cs="Times New Roman" w:eastAsia="Times New Roman" w:hAnsi="Times New Roman"/>
          <w:sz w:val="18"/>
          <w:szCs w:val="18"/>
          <w:u w:val="single" w:color="auto"/>
          <w:color w:val="auto"/>
        </w:rPr>
        <w:t>Series GG Notes</w:t>
      </w:r>
      <w:r>
        <w:rPr>
          <w:rFonts w:ascii="Times New Roman" w:cs="Times New Roman" w:eastAsia="Times New Roman" w:hAnsi="Times New Roman"/>
          <w:sz w:val="18"/>
          <w:szCs w:val="18"/>
          <w:color w:val="auto"/>
        </w:rPr>
        <w:t>” and together with the Series FF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above-referenced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Notes are being issued under an Indenture dated April 1,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a Twenty-Second Supplemental Indenture dated April 1, 2024 (the “</w:t>
      </w:r>
      <w:r>
        <w:rPr>
          <w:rFonts w:ascii="Times New Roman" w:cs="Times New Roman" w:eastAsia="Times New Roman" w:hAnsi="Times New Roman"/>
          <w:sz w:val="18"/>
          <w:szCs w:val="18"/>
          <w:u w:val="single" w:color="auto"/>
          <w:color w:val="auto"/>
        </w:rPr>
        <w:t>Twenty-Second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between the Company and The Bank of New York Mellon Trust Company, N.A. as trustee.</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the Indenture, which has been filed with the Commission as an exhibit to the Registration Statement. We have also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and one or more of its subsidiaries, public officials and other appropriate persons.</w:t>
      </w:r>
    </w:p>
    <w:p>
      <w:pPr>
        <w:spacing w:after="0" w:line="18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matters governed by the laws of the State of New York and the laws of the Commonwealth of Massachusetts.</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the qualifications and limitations set forth below, we are of the opinion that, when the Notes have been duly executed and authenticated in accordance with the provisions of the Indenture and have been delivered against receipt of payment therefor, the Notes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Eversource Energy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- 2 -</w:t>
            </w:r>
          </w:p>
        </w:tc>
      </w:tr>
    </w:tbl>
    <w:p>
      <w:pPr>
        <w:spacing w:after="0" w:line="200" w:lineRule="exact"/>
        <w:rPr>
          <w:sz w:val="20"/>
          <w:szCs w:val="20"/>
          <w:color w:val="auto"/>
        </w:rPr>
      </w:pPr>
    </w:p>
    <w:p>
      <w:pPr>
        <w:spacing w:after="0" w:line="21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opinions set forth above are subject to (i) bankruptcy, insolvency, reorganization, moratorium, fraudulent conveyance and similar laws affecting the rights and remedies of creditors generally and (ii) general principles of equity. Our opinions are also subject to the qualification that the enforceability of provisions in the Indenture providing for indemnification or contribution, broadly worded waivers, waivers of rights to damages or defenses, waivers of unknown or future claims, and waivers of statutory, regulatory or constitutional rights may be limited on public policy or statutory grounds.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of this opinion letter as an exhibit to the Registration Statement and to the use of our name under the caption “Legal Opinions” in the Prospectus. By giving the foregoing consent, we do not admit that we come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2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2024-04-18T15:20:20Z</dcterms:created>
  <dcterms:modified xsi:type="dcterms:W3CDTF">2024-04-18T15:20:20Z</dcterms:modified>
</cp:coreProperties>
</file>