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EVERSOURCE ENERGY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001-05324</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04-2147929</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300 Cadwell Drive, Springfield, Massachusetts, 01104</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2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(800) 286-5000</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Common Shares, $5.00 par value per share</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ES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the chapter) or Rule 12b-2 of the Securities Exchange Act of 1934 (§240.12b-2 of the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960" w:val="left"/>
          <w:tab w:leader="none" w:pos="12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June 30, 2026, Eversource Energy issued a news release announcing that it has successfully completed the sale of Aquarion Water Company, consistent with all regulatory terms and requirements, to Aquarion Water Authority, a quasi-public corporation and political subdivision of the State of Connecticut. A copy of the news release is attached as Exhibit 99.1 and is incorporated herein by reference hereto.</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15" w:lineRule="exact"/>
        <w:rPr>
          <w:sz w:val="20"/>
          <w:szCs w:val="20"/>
          <w:color w:val="auto"/>
        </w:rPr>
      </w:pPr>
    </w:p>
    <w:p>
      <w:pPr>
        <w:sectPr>
          <w:pgSz w:w="11900" w:h="16838" w:orient="portrait"/>
          <w:cols w:equalWidth="0" w:num="3">
            <w:col w:w="700" w:space="280"/>
            <w:col w:w="60" w:space="260"/>
            <w:col w:w="994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00" w:lineRule="exact"/>
        <w:rPr>
          <w:sz w:val="20"/>
          <w:szCs w:val="20"/>
          <w:color w:val="auto"/>
        </w:rPr>
      </w:pPr>
    </w:p>
    <w:p>
      <w:pPr>
        <w:sectPr>
          <w:pgSz w:w="11900" w:h="16838" w:orient="portrait"/>
          <w:cols w:equalWidth="0" w:num="2">
            <w:col w:w="720" w:space="580"/>
            <w:col w:w="9940"/>
          </w:cols>
          <w:pgMar w:left="320" w:top="900" w:right="339" w:bottom="1440" w:gutter="0" w:footer="0" w:header="0"/>
          <w:type w:val="continuous"/>
        </w:sectPr>
      </w:pPr>
    </w:p>
    <w:p>
      <w:pPr>
        <w:spacing w:after="0" w:line="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30, 2026, Eversource Energy announced that it has successfully completed the sale of Aquarion Water Company, consistent with all regulatory terms and requirements, to the Aquarion Water Authority, a quasi-public corporation and political subdivision of the State of Connecticut and a standalone water authority alongside the South Central Connecticut Regional Water Authority. The total transaction purchase price was $2.4 billion in cash. The adjusted net equity proceeds of approximately $1.7 billion will be used to displace Eversource Energy debt.</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sale, Eversource Energy expects to recognize an after-tax non-cash non-recurring charge of approximately $115 million, or $0.31 per share, in the second quarter of 2026.</w:t>
      </w:r>
    </w:p>
    <w:p>
      <w:pPr>
        <w:spacing w:after="0" w:line="162"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This Current Report on Form 8-K includes financial measures that are not recognized under generally accepted accounting principles (non-GAAP) referencing earnings and EPS excluding the loss on sale of the Aquarion water distribution business and excluding a charge for the March 2026 FERC decision in the FERC base ROE complaints.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loss on sale of the Aquarion water distribution business and the charge for the March 2026 FERC decision in the FERC base ROE complaints are not indicative of Eversource Energy’s ongoing costs and performance. Management views these charges as not directly related to the ongoing operations of the business and therefore not indicators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and EPS determined in accordance with GAAP as indicators of Eversource Energy's operating performance. Eversource Energy does not provide a reconciliation of guidance from non-GAAP recurring earnings or non-GAAP recurring EPS to the most directly comparable GAAP measure because it is not able to predict with reasonable certainty the amount or nature of all items that will be included in Net Income Attributable to Common Shareholders or recurring EPS for the year ending December 31, 2026. These items are uncertain, depend on many factors and could have a material impact on Net Income Attributable to Common Shareholders and recurring EPS for the year ending December 31, 2026, and therefore cannot be made available without unreasonable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ind w:firstLine="648"/>
        <w:spacing w:after="0" w:line="251" w:lineRule="auto"/>
        <w:rPr>
          <w:sz w:val="20"/>
          <w:szCs w:val="20"/>
          <w:color w:val="auto"/>
        </w:rPr>
      </w:pPr>
      <w:r>
        <w:rPr>
          <w:rFonts w:ascii="Times New Roman" w:cs="Times New Roman" w:eastAsia="Times New Roman" w:hAnsi="Times New Roman"/>
          <w:sz w:val="18"/>
          <w:szCs w:val="18"/>
          <w:color w:val="auto"/>
        </w:rPr>
        <w:t>This Current Report on Form 8-K also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U.S. federal securities laws. Generally, readers can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 events or breaches, including acts of war or terrorism, affecting our systems or the systems of third parties on which we rely, unauthorized access to, and the misappropriation of, confidential and proprietary Company, customer, employee, financial or system operating information; actions or inaction of local, state and federal regulatory, public policy and taxing bodies; changes in laws, regulations, Presidential executive orders or regulatory policy, including compliance with laws and regulations, which may impact the cost of compliance and strategic initiatives of the Company; adverse publicity, which can harm our reputation, influence legislative and regulatory bodies, and result in unfavorable outcomes; variability in the costs and final investment returns of the Revolution Wind and South Fork Wind offshore wind projects as it relates to the purchase price post-closing adjustment under the terms of the sale agreement for these projects; the ability to qualify for investment tax credits; extreme weather, including severe storms, due to the impacts of climate change, and fluctuations in weather patterns; physical attacks or grid disturbances that may damage and disrupt our electric transmission and electric and natural gas distribution systems; ability or inability to commence and complete our major strategic development projects and opportunities; breakdown, failure of, or damage to operating equipment, information technology systems, or processes of our transmission and distribution systems; changes in levels or timing of capital expenditures, including unplanned expenditures and increased capital expenditure requirements; changes in business conditions, which could include disruptive technology or development of alternative energy sources related to our current or future business model; substandard performance of third-party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on interest rates, tax policies, tariffs and customer demand and payment ability;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risk factors are detailed in Eversource Energy’s reports filed with the Securities and Exchange Commission (“SEC”). They are updated as necessary and available on Eversource Energy’s website at investors.eversource.com and on the SEC’s website at www.sec.gov and management encourages you to consult such disclosures.</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w:t>
      </w:r>
    </w:p>
    <w:p>
      <w:pPr>
        <w:spacing w:after="0" w:line="185" w:lineRule="exact"/>
        <w:rPr>
          <w:sz w:val="20"/>
          <w:szCs w:val="20"/>
          <w:color w:val="auto"/>
        </w:rPr>
      </w:pPr>
    </w:p>
    <w:p>
      <w:pPr>
        <w:spacing w:after="0"/>
        <w:tabs>
          <w:tab w:leader="none" w:pos="960" w:val="left"/>
          <w:tab w:leader="none" w:pos="1280" w:val="left"/>
        </w:tabs>
        <w:rPr>
          <w:sz w:val="20"/>
          <w:szCs w:val="20"/>
          <w:color w:val="auto"/>
        </w:rPr>
      </w:pPr>
      <w:r>
        <w:rPr>
          <w:rFonts w:ascii="Times New Roman" w:cs="Times New Roman" w:eastAsia="Times New Roman" w:hAnsi="Times New Roman"/>
          <w:sz w:val="18"/>
          <w:szCs w:val="18"/>
          <w:b w:val="1"/>
          <w:bCs w:val="1"/>
          <w:color w:val="auto"/>
        </w:rPr>
        <w:t>Section 9</w:t>
        <w:tab/>
        <w:t>-</w:t>
        <w:tab/>
        <w:t>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820" w:type="dxa"/>
            <w:vAlign w:val="bottom"/>
          </w:tcPr>
          <w:p>
            <w:pPr>
              <w:spacing w:after="0"/>
              <w:rPr>
                <w:sz w:val="16"/>
                <w:szCs w:val="16"/>
                <w:color w:val="auto"/>
              </w:rPr>
            </w:pPr>
          </w:p>
        </w:tc>
        <w:tc>
          <w:tcPr>
            <w:tcW w:w="32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6"/>
                <w:szCs w:val="16"/>
                <w:color w:val="auto"/>
              </w:rPr>
            </w:pPr>
          </w:p>
        </w:tc>
        <w:tc>
          <w:tcPr>
            <w:tcW w:w="41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News Release of Eversource Energy, dated June 30, 2026.</w:t>
            </w:r>
          </w:p>
        </w:tc>
        <w:tc>
          <w:tcPr>
            <w:tcW w:w="5100" w:type="dxa"/>
            <w:vAlign w:val="bottom"/>
          </w:tcPr>
          <w:p>
            <w:pPr>
              <w:spacing w:after="0"/>
              <w:rPr>
                <w:sz w:val="16"/>
                <w:szCs w:val="16"/>
                <w:color w:val="auto"/>
              </w:rPr>
            </w:pPr>
          </w:p>
        </w:tc>
      </w:tr>
      <w:tr>
        <w:trPr>
          <w:trHeight w:val="237"/>
        </w:trPr>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EVERSOURCE ENERGY</w:t>
            </w:r>
          </w:p>
        </w:tc>
      </w:tr>
      <w:tr>
        <w:trPr>
          <w:trHeight w:val="234"/>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2"/>
                <w:szCs w:val="12"/>
                <w:color w:val="auto"/>
              </w:rPr>
              <w:t>uth</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S. Buth</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675"/>
        </w:trPr>
        <w:tc>
          <w:tcPr>
            <w:tcW w:w="3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 Completes the Sale of Aquarion Water Company</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HARTFORD, Conn. and BOSTON, Mass. (June 30, 2026) </w:t>
      </w:r>
      <w:r>
        <w:rPr>
          <w:rFonts w:ascii="Times New Roman" w:cs="Times New Roman" w:eastAsia="Times New Roman" w:hAnsi="Times New Roman"/>
          <w:sz w:val="18"/>
          <w:szCs w:val="18"/>
          <w:color w:val="auto"/>
        </w:rPr>
        <w:t>– Eversource Energy (NYSE:ES) (“Eversource”) today announced that it has successfully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sale of Aquarion Water Company (“AWC”), consistent with all regulatory terms and requirements, to Aquarion Water Authority (“AWA”), a quasi-public corporation and political subdivision of the State of Connecticut and a standalone water authority alongside the South Central Connecticut Regional Water Authority (“RWA”). The total transaction purchase price was $2.4 billion cash. The adjusted net equity proceeds of approximately $1.7 billion will be used to displace Eversource debt, delivering on our commitment to strengthen the Eversource balance sheet.</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January 27, 2025, Eversource entered a definitive agreement to sell AWC to AWA. The sale was approved by the Connecticut Public Utilities Regulatory Authority on March 25, 2026.</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pleased to close this transaction, which is a key piece of our commitment to further strengthen our balance sheet and credit profile,” said Eversource Executive Vice President, Chief Financial Officer and Treasurer John Moreira. “The sale of Aquarion constitutes a significant milestone in furthering our strategic position as a pure-play regulated pipes and wires utility, allowing us to optimize our portfolio by focusing on our core electric and natural gas operations across New England while efficiently reinvesting capital for the benefit of our customers. As we continue to collaborate with stakeholders across our service territories in Connecticut, Massachusetts and New Hampshire to deliver-cost-effective solutions that ensure safe, reliable electric and natural gas service for our customers, we are confident that Aquarion’s operational success, sound management and financial stewardship will continue under the new authority model – benefitting residents, businesses and communities for years to come.”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sale, Eversource expects to recognize an after-tax non-cash non-recurring charge of approximately $115 million, or $0.31 per share, in the second quarter of 2026. The Company's revised 2026 non-GAAP guidance of $4.57 per share to $4.72 per share includes the impact of the absence of Aquarion earnings. The Company continues to expect that its cumulative long-term earnings per share growth rate would be within the range of 5 to 7 percent through 2030, using the adjusted 2026 non-GAAP earnings guidance mid-point of $4.65 per share as the base year. The Company expects annual earnings growth towards the upper half of its long-term guidance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Citi and Morgan Stanley &amp; Co. LLC served as financial advisors to Eversource Energy. Ropes &amp; Gray LLP served as legal counsel to Eversource Energy.</w:t>
      </w:r>
    </w:p>
    <w:p>
      <w:pPr>
        <w:spacing w:after="0" w:line="2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i w:val="1"/>
          <w:iCs w:val="1"/>
          <w:color w:val="auto"/>
        </w:rPr>
        <w:t>This release includes financial measures that are not recognized under generally accepted accounting principles (non-GAAP) referencing earnings and EPS excluding the loss on sale of the Aquarion water distribution business and excluding a charge for the March 2026 FERC decision in the FERC base ROE complaints.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loss on sale of the Aquarion water distribution business and the charge for the March 2026 FERC decision in the FERC base ROE complaints are not indicative of Eversource Energy’s ongoing costs and performance. Management views these charges as not directly related to the ongoing operations of the business and therefore not indicators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and EPS determined in accordance with GAAP as indicators of Eversource Energy's operating performance. Eversource Energy does not provide a reconciliation of guidance from non-GAAP recurring earnings or non-GAAP recurring EPS to the most directly comparable GAAP measure because it is not able to predict with reasonable certainty the amount or nature of all items that will be included in Net Income Attributable to Common Shareholders or recurring EPS for the year ending December 31, 2026. These items are uncertain, depend on many factors and could have a material impact on Net Income Attributable to Common Shareholders and recurring EPS for the year ending December 31, 2026, and therefore cannot be made available without unreasonable effort.</w:t>
      </w:r>
    </w:p>
    <w:p>
      <w:pPr>
        <w:spacing w:after="0" w:line="3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release also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U.S. federal securities laws. Generally, readers can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 events or breaches, including acts of war or terrorism, affecting our systems or the systems of third parties on which we rely, unauthorized access to, and the misappropriation of, confidential and proprietary Company, customer, employee, financial or system operating information; actions or inaction of local, state and federal regulatory, public policy and taxing bodies; changes in laws, regulations, Presidential executive orders or regulatory policy, including compliance with laws and regulations, which may impact the cost of compliance and strategic initiatives of the Company; adverse publicity, which can harm our reputation, influence legislative and regulatory bodies, and result in unfavorable outcomes; variability in the costs and final investment returns of the Revolution Wind and South Fork Wind offshore wind projects as it relates to the purchase price post-closing adjustment under the terms of the sale agreement for these projects; the ability to qualify for investment tax credits; extreme weather, including severe storms, due to the impacts of climate change, and fluctuations in weather patterns; physical attacks or grid disturbances that may damage and disrupt our electric transmission and electric and natural gas distribution systems; ability or inability to commence and complete our major strategic development projects and opportunities; breakdown, failure of, or damage to operating equipment, information technology systems, or processes of our transmission and distribution systems; changes in levels or timing of capital expenditures, including unplanned expenditures and increased capital expenditure requirements; changes in business conditions, which could include disruptive technology or development of alternative energy sources related to our current or future business model; substandard performance of third-party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on interest rates, tax policies, tariffs and customer demand and payment ability;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Other risk factors are detailed in Eversource Energy’s reports filed with the Securities and Exchange Commission (“SEC”). They are updated as necessary and available on Eversource Energy’s website at investors.eversource.com and on the SEC’s website at www.sec.gov and management encourages you to consult such disclosures.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w:t>
      </w:r>
    </w:p>
    <w:p>
      <w:pPr>
        <w:spacing w:after="0" w:line="18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Eversource (NYSE: ES), celebrated as a national leader for its commitment to sustainability and corporate citizenship, is named among America’s Most Responsible Companies by </w:t>
      </w:r>
      <w:r>
        <w:rPr>
          <w:rFonts w:ascii="Times New Roman" w:cs="Times New Roman" w:eastAsia="Times New Roman" w:hAnsi="Times New Roman"/>
          <w:sz w:val="17"/>
          <w:szCs w:val="17"/>
          <w:i w:val="1"/>
          <w:iCs w:val="1"/>
          <w:u w:val="single" w:color="auto"/>
          <w:color w:val="auto"/>
        </w:rPr>
        <w:t>Newsweek</w:t>
      </w:r>
      <w:r>
        <w:rPr>
          <w:rFonts w:ascii="Times New Roman" w:cs="Times New Roman" w:eastAsia="Times New Roman" w:hAnsi="Times New Roman"/>
          <w:sz w:val="17"/>
          <w:szCs w:val="17"/>
          <w:i w:val="1"/>
          <w:iCs w:val="1"/>
          <w:color w:val="auto"/>
        </w:rPr>
        <w:t xml:space="preserve"> for 2026 and recognized as the #1 utility on </w:t>
      </w:r>
      <w:r>
        <w:rPr>
          <w:rFonts w:ascii="Times New Roman" w:cs="Times New Roman" w:eastAsia="Times New Roman" w:hAnsi="Times New Roman"/>
          <w:sz w:val="17"/>
          <w:szCs w:val="17"/>
          <w:i w:val="1"/>
          <w:iCs w:val="1"/>
          <w:u w:val="single" w:color="auto"/>
          <w:color w:val="auto"/>
        </w:rPr>
        <w:t>USA Today</w:t>
      </w:r>
      <w:r>
        <w:rPr>
          <w:rFonts w:ascii="Times New Roman" w:cs="Times New Roman" w:eastAsia="Times New Roman" w:hAnsi="Times New Roman"/>
          <w:sz w:val="17"/>
          <w:szCs w:val="17"/>
          <w:i w:val="1"/>
          <w:iCs w:val="1"/>
          <w:color w:val="auto"/>
        </w:rPr>
        <w:t xml:space="preserve">’s list of America’s Climate Leaders for 2025. Eversource transmits and delivers electricity and natural gas to approximately 4 million customers in Connecticut, Massachusetts and New Hampshire. The #1 Energy Efficiency Provider in the Nation, Eversource harnesses the commitment of more than 10,500 employees across three states to build a single, united company around the mission of safely delivering reliable energy and water with superior customer service. The company is empowering a clean energy future in the Northeast, with nationally recognized energy efficiency solutions and successful programs to integrate new clean energy resources like a first-in-the-nation networked geothermal pilot project, solar, offshore wind, electric vehicles and battery storage, into the electric system. For more information, please visit </w:t>
      </w:r>
      <w:r>
        <w:rPr>
          <w:rFonts w:ascii="Times New Roman" w:cs="Times New Roman" w:eastAsia="Times New Roman" w:hAnsi="Times New Roman"/>
          <w:sz w:val="17"/>
          <w:szCs w:val="17"/>
          <w:i w:val="1"/>
          <w:iCs w:val="1"/>
          <w:u w:val="single" w:color="auto"/>
          <w:color w:val="auto"/>
        </w:rPr>
        <w:t>eversource.com</w:t>
      </w:r>
      <w:r>
        <w:rPr>
          <w:rFonts w:ascii="Times New Roman" w:cs="Times New Roman" w:eastAsia="Times New Roman" w:hAnsi="Times New Roman"/>
          <w:sz w:val="17"/>
          <w:szCs w:val="17"/>
          <w:i w:val="1"/>
          <w:iCs w:val="1"/>
          <w:color w:val="auto"/>
        </w:rPr>
        <w:t xml:space="preserve">, and follow us on </w:t>
      </w:r>
      <w:r>
        <w:rPr>
          <w:rFonts w:ascii="Times New Roman" w:cs="Times New Roman" w:eastAsia="Times New Roman" w:hAnsi="Times New Roman"/>
          <w:sz w:val="17"/>
          <w:szCs w:val="17"/>
          <w:i w:val="1"/>
          <w:iCs w:val="1"/>
          <w:u w:val="single" w:color="auto"/>
          <w:color w:val="auto"/>
        </w:rPr>
        <w:t>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Facebook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Instagram</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i w:val="1"/>
          <w:iCs w:val="1"/>
          <w:u w:val="single" w:color="auto"/>
          <w:color w:val="auto"/>
        </w:rPr>
        <w:t>LinkedIn</w:t>
      </w:r>
      <w:r>
        <w:rPr>
          <w:rFonts w:ascii="Times New Roman" w:cs="Times New Roman" w:eastAsia="Times New Roman" w:hAnsi="Times New Roman"/>
          <w:sz w:val="17"/>
          <w:szCs w:val="17"/>
          <w:i w:val="1"/>
          <w:iCs w:val="1"/>
          <w:color w:val="auto"/>
        </w:rPr>
        <w:t xml:space="preserve">. For more information on our water services, visit </w:t>
      </w:r>
      <w:r>
        <w:rPr>
          <w:rFonts w:ascii="Times New Roman" w:cs="Times New Roman" w:eastAsia="Times New Roman" w:hAnsi="Times New Roman"/>
          <w:sz w:val="17"/>
          <w:szCs w:val="17"/>
          <w:i w:val="1"/>
          <w:iCs w:val="1"/>
          <w:u w:val="single" w:color="auto"/>
          <w:color w:val="auto"/>
        </w:rPr>
        <w:t>aquarionwater.com</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Rima Hyder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781-441-8882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rima.hyder@eversource.com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Hinkle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603-634-2228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william.hinkle@eversource.com</w:t>
      </w:r>
    </w:p>
    <w:p>
      <w:pPr>
        <w:spacing w:after="0" w:line="20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2026-07-01T05:08:45Z</dcterms:created>
  <dcterms:modified xsi:type="dcterms:W3CDTF">2026-07-01T05:08:45Z</dcterms:modified>
</cp:coreProperties>
</file>