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February 11, 2025</w:t>
      </w:r>
    </w:p>
    <w:p>
      <w:pPr>
        <w:spacing w:after="0" w:line="139" w:lineRule="exact"/>
        <w:rPr>
          <w:sz w:val="24"/>
          <w:szCs w:val="24"/>
          <w:color w:val="auto"/>
        </w:rPr>
      </w:pPr>
    </w:p>
    <w:tbl>
      <w:tblPr>
        <w:tblLayout w:type="fixed"/>
        <w:tblInd w:w="608" w:type="dxa"/>
        <w:tblCellMar>
          <w:top w:w="0" w:type="dxa"/>
          <w:left w:w="0" w:type="dxa"/>
          <w:bottom w:w="0" w:type="dxa"/>
          <w:right w:w="0" w:type="dxa"/>
        </w:tblCellMar>
      </w:tblPr>
      <w:tr>
        <w:trPr>
          <w:trHeight w:val="144"/>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w w:val="95"/>
              </w:rPr>
              <w:t>Commission</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Registrant; State of Incorporation</w:t>
            </w:r>
          </w:p>
        </w:tc>
        <w:tc>
          <w:tcPr>
            <w:tcW w:w="110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28"/>
        </w:trPr>
        <w:tc>
          <w:tcPr>
            <w:tcW w:w="60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w w:val="95"/>
              </w:rPr>
              <w:t>File Number</w:t>
            </w:r>
          </w:p>
        </w:tc>
        <w:tc>
          <w:tcPr>
            <w:tcW w:w="3540" w:type="dxa"/>
            <w:vAlign w:val="bottom"/>
          </w:tcPr>
          <w:p>
            <w:pPr>
              <w:spacing w:after="0"/>
              <w:rPr>
                <w:sz w:val="11"/>
                <w:szCs w:val="11"/>
                <w:color w:val="auto"/>
              </w:rPr>
            </w:pPr>
          </w:p>
        </w:tc>
        <w:tc>
          <w:tcPr>
            <w:tcW w:w="4020" w:type="dxa"/>
            <w:vAlign w:val="bottom"/>
            <w:gridSpan w:val="2"/>
          </w:tcPr>
          <w:p>
            <w:pPr>
              <w:jc w:val="center"/>
              <w:ind w:right="2440"/>
              <w:spacing w:after="0" w:line="128" w:lineRule="exact"/>
              <w:rPr>
                <w:sz w:val="20"/>
                <w:szCs w:val="20"/>
                <w:color w:val="auto"/>
              </w:rPr>
            </w:pPr>
            <w:r>
              <w:rPr>
                <w:rFonts w:ascii="Times New Roman" w:cs="Times New Roman" w:eastAsia="Times New Roman" w:hAnsi="Times New Roman"/>
                <w:sz w:val="12"/>
                <w:szCs w:val="12"/>
                <w:color w:val="auto"/>
                <w:w w:val="99"/>
              </w:rPr>
              <w:t>Address; and Telephone Number</w:t>
            </w:r>
          </w:p>
        </w:tc>
        <w:tc>
          <w:tcPr>
            <w:tcW w:w="1940" w:type="dxa"/>
            <w:vAlign w:val="bottom"/>
            <w:gridSpan w:val="2"/>
          </w:tcPr>
          <w:p>
            <w:pPr>
              <w:jc w:val="center"/>
              <w:ind w:left="1040"/>
              <w:spacing w:after="0" w:line="128" w:lineRule="exact"/>
              <w:rPr>
                <w:sz w:val="20"/>
                <w:szCs w:val="20"/>
                <w:color w:val="auto"/>
              </w:rPr>
            </w:pPr>
            <w:r>
              <w:rPr>
                <w:rFonts w:ascii="Times New Roman" w:cs="Times New Roman" w:eastAsia="Times New Roman" w:hAnsi="Times New Roman"/>
                <w:sz w:val="12"/>
                <w:szCs w:val="12"/>
                <w:color w:val="auto"/>
                <w:w w:val="98"/>
              </w:rPr>
              <w:t>Identification No.</w:t>
            </w:r>
          </w:p>
        </w:tc>
      </w:tr>
      <w:tr>
        <w:trPr>
          <w:trHeight w:val="20"/>
        </w:trPr>
        <w:tc>
          <w:tcPr>
            <w:tcW w:w="6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338"/>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1-5324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9"/>
              </w:rPr>
              <w:t>EVERSOURCE ENERGY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04-2147929</w:t>
            </w: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(a Massachusetts voluntary association)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300 Cadwell Drive</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w w:val="99"/>
              </w:rPr>
              <w:t>Springfield, Massachusetts 01104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0-00404</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8"/>
              </w:rPr>
              <w:t>THE CONNECTICUT LIGHT AND POWER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06-0303850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Connecticut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107 Selden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Berlin, Connecticut 06037-1616</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1-02301</w:t>
            </w: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7"/>
                <w:szCs w:val="17"/>
                <w:b w:val="1"/>
                <w:bCs w:val="1"/>
                <w:color w:val="auto"/>
                <w:w w:val="97"/>
              </w:rPr>
              <w:t>NSTAR ELECTRIC COMPANY</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04-1278810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20"/>
              <w:spacing w:after="0"/>
              <w:rPr>
                <w:sz w:val="20"/>
                <w:szCs w:val="20"/>
                <w:color w:val="auto"/>
              </w:rPr>
            </w:pPr>
            <w:r>
              <w:rPr>
                <w:rFonts w:ascii="Times New Roman" w:cs="Times New Roman" w:eastAsia="Times New Roman" w:hAnsi="Times New Roman"/>
                <w:sz w:val="12"/>
                <w:szCs w:val="12"/>
                <w:color w:val="auto"/>
                <w:w w:val="99"/>
              </w:rPr>
              <w:t>(a Massachusetts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800 Boylston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Boston, Massachusetts 02199</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8"/>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331"/>
        </w:trPr>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1-6392</w:t>
            </w:r>
          </w:p>
        </w:tc>
        <w:tc>
          <w:tcPr>
            <w:tcW w:w="7560" w:type="dxa"/>
            <w:vAlign w:val="bottom"/>
            <w:gridSpan w:val="3"/>
          </w:tcPr>
          <w:p>
            <w:pPr>
              <w:jc w:val="center"/>
              <w:ind w:left="1048"/>
              <w:spacing w:after="0"/>
              <w:rPr>
                <w:sz w:val="20"/>
                <w:szCs w:val="20"/>
                <w:color w:val="auto"/>
              </w:rPr>
            </w:pPr>
            <w:r>
              <w:rPr>
                <w:rFonts w:ascii="Times New Roman" w:cs="Times New Roman" w:eastAsia="Times New Roman" w:hAnsi="Times New Roman"/>
                <w:sz w:val="17"/>
                <w:szCs w:val="17"/>
                <w:b w:val="1"/>
                <w:bCs w:val="1"/>
                <w:color w:val="auto"/>
                <w:w w:val="98"/>
              </w:rPr>
              <w:t>PUBLIC SERVICE COMPANY OF NEW HAMPSHIRE</w:t>
            </w:r>
          </w:p>
        </w:tc>
        <w:tc>
          <w:tcPr>
            <w:tcW w:w="1940" w:type="dxa"/>
            <w:vAlign w:val="bottom"/>
            <w:gridSpan w:val="2"/>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02-0181050</w:t>
            </w: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rPr>
              <w:t>(a New Hampshire corporation)</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7"/>
              </w:rPr>
              <w:t>Energy Park</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20" w:type="dxa"/>
            <w:vAlign w:val="bottom"/>
            <w:gridSpan w:val="2"/>
          </w:tcPr>
          <w:p>
            <w:pPr>
              <w:jc w:val="center"/>
              <w:ind w:right="2440"/>
              <w:spacing w:after="0"/>
              <w:rPr>
                <w:sz w:val="20"/>
                <w:szCs w:val="20"/>
                <w:color w:val="auto"/>
              </w:rPr>
            </w:pPr>
            <w:r>
              <w:rPr>
                <w:rFonts w:ascii="Times New Roman" w:cs="Times New Roman" w:eastAsia="Times New Roman" w:hAnsi="Times New Roman"/>
                <w:sz w:val="12"/>
                <w:szCs w:val="12"/>
                <w:color w:val="auto"/>
                <w:w w:val="99"/>
              </w:rPr>
              <w:t>780 North Commercial Street</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600" w:type="dxa"/>
            <w:vAlign w:val="bottom"/>
          </w:tcPr>
          <w:p>
            <w:pPr>
              <w:spacing w:after="0"/>
              <w:rPr>
                <w:sz w:val="12"/>
                <w:szCs w:val="12"/>
                <w:color w:val="auto"/>
              </w:rPr>
            </w:pPr>
          </w:p>
        </w:tc>
        <w:tc>
          <w:tcPr>
            <w:tcW w:w="7560" w:type="dxa"/>
            <w:vAlign w:val="bottom"/>
            <w:gridSpan w:val="3"/>
          </w:tcPr>
          <w:p>
            <w:pPr>
              <w:jc w:val="center"/>
              <w:ind w:left="1028"/>
              <w:spacing w:after="0"/>
              <w:rPr>
                <w:sz w:val="20"/>
                <w:szCs w:val="20"/>
                <w:color w:val="auto"/>
              </w:rPr>
            </w:pPr>
            <w:r>
              <w:rPr>
                <w:rFonts w:ascii="Times New Roman" w:cs="Times New Roman" w:eastAsia="Times New Roman" w:hAnsi="Times New Roman"/>
                <w:sz w:val="12"/>
                <w:szCs w:val="12"/>
                <w:color w:val="auto"/>
              </w:rPr>
              <w:t>Manchester, New Hampshire 03101-1134</w:t>
            </w:r>
          </w:p>
        </w:tc>
        <w:tc>
          <w:tcPr>
            <w:tcW w:w="1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5"/>
        </w:trPr>
        <w:tc>
          <w:tcPr>
            <w:tcW w:w="6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Telephone: (800) 286-5000</w:t>
            </w: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r>
    </w:tbl>
    <w:p>
      <w:pPr>
        <w:spacing w:after="0" w:line="14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u w:val="single" w:color="auto"/>
          <w:color w:val="auto"/>
        </w:rPr>
        <w:t>see</w:t>
      </w:r>
      <w:r>
        <w:rPr>
          <w:rFonts w:ascii="Times New Roman" w:cs="Times New Roman" w:eastAsia="Times New Roman" w:hAnsi="Times New Roman"/>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tc>
        <w:tc>
          <w:tcPr>
            <w:tcW w:w="1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1840" w:type="dxa"/>
            <w:vAlign w:val="bottom"/>
            <w:gridSpan w:val="4"/>
            <w:vMerge w:val="restart"/>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Name of each exchange on</w:t>
            </w:r>
          </w:p>
        </w:tc>
        <w:tc>
          <w:tcPr>
            <w:tcW w:w="0" w:type="dxa"/>
            <w:vAlign w:val="bottom"/>
          </w:tcPr>
          <w:p>
            <w:pPr>
              <w:spacing w:after="0"/>
              <w:rPr>
                <w:sz w:val="1"/>
                <w:szCs w:val="1"/>
                <w:color w:val="auto"/>
              </w:rPr>
            </w:pPr>
          </w:p>
        </w:tc>
      </w:tr>
      <w:tr>
        <w:trPr>
          <w:trHeight w:val="117"/>
        </w:trPr>
        <w:tc>
          <w:tcPr>
            <w:tcW w:w="5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6"/>
              </w:rPr>
              <w:t>Registrant</w:t>
            </w:r>
          </w:p>
        </w:tc>
        <w:tc>
          <w:tcPr>
            <w:tcW w:w="3620" w:type="dxa"/>
            <w:vAlign w:val="bottom"/>
            <w:vMerge w:val="restart"/>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940" w:type="dxa"/>
            <w:vAlign w:val="bottom"/>
            <w:gridSpan w:val="2"/>
            <w:vMerge w:val="continue"/>
          </w:tcPr>
          <w:p>
            <w:pPr>
              <w:spacing w:after="0"/>
              <w:rPr>
                <w:sz w:val="10"/>
                <w:szCs w:val="10"/>
                <w:color w:val="auto"/>
              </w:rPr>
            </w:pPr>
          </w:p>
        </w:tc>
        <w:tc>
          <w:tcPr>
            <w:tcW w:w="18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gridSpan w:val="2"/>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940" w:type="dxa"/>
            <w:vAlign w:val="bottom"/>
            <w:gridSpan w:val="2"/>
          </w:tcPr>
          <w:p>
            <w:pPr>
              <w:jc w:val="center"/>
              <w:ind w:right="480"/>
              <w:spacing w:after="0" w:line="124" w:lineRule="exact"/>
              <w:rPr>
                <w:sz w:val="20"/>
                <w:szCs w:val="20"/>
                <w:color w:val="auto"/>
              </w:rPr>
            </w:pPr>
            <w:r>
              <w:rPr>
                <w:rFonts w:ascii="Times New Roman" w:cs="Times New Roman" w:eastAsia="Times New Roman" w:hAnsi="Times New Roman"/>
                <w:sz w:val="12"/>
                <w:szCs w:val="12"/>
                <w:b w:val="1"/>
                <w:bCs w:val="1"/>
                <w:color w:val="auto"/>
                <w:w w:val="89"/>
              </w:rPr>
              <w:t>Symbol(s)</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2"/>
                <w:szCs w:val="12"/>
                <w:b w:val="1"/>
                <w:bCs w:val="1"/>
                <w:color w:val="auto"/>
                <w:w w:val="98"/>
              </w:rPr>
              <w:t>which registered</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3660" w:type="dxa"/>
            <w:vAlign w:val="bottom"/>
            <w:gridSpan w:val="3"/>
          </w:tcPr>
          <w:p>
            <w:pPr>
              <w:jc w:val="center"/>
              <w:ind w:left="820"/>
              <w:spacing w:after="0"/>
              <w:rPr>
                <w:sz w:val="20"/>
                <w:szCs w:val="20"/>
                <w:color w:val="auto"/>
              </w:rPr>
            </w:pPr>
            <w:r>
              <w:rPr>
                <w:rFonts w:ascii="Times New Roman" w:cs="Times New Roman" w:eastAsia="Times New Roman" w:hAnsi="Times New Roman"/>
                <w:sz w:val="12"/>
                <w:szCs w:val="12"/>
                <w:color w:val="auto"/>
                <w:w w:val="99"/>
              </w:rPr>
              <w:t>Common Shares, $5.00 par value per share</w:t>
            </w:r>
          </w:p>
        </w:tc>
        <w:tc>
          <w:tcPr>
            <w:tcW w:w="94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color w:val="auto"/>
                <w:w w:val="99"/>
              </w:rPr>
              <w:t>ES</w:t>
            </w:r>
          </w:p>
        </w:tc>
        <w:tc>
          <w:tcPr>
            <w:tcW w:w="500" w:type="dxa"/>
            <w:vAlign w:val="bottom"/>
          </w:tcPr>
          <w:p>
            <w:pPr>
              <w:spacing w:after="0"/>
              <w:rPr>
                <w:sz w:val="12"/>
                <w:szCs w:val="12"/>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9"/>
              </w:rPr>
              <w:t>New York Stock Exchange</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44"/>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1820" w:type="dxa"/>
            <w:vAlign w:val="bottom"/>
          </w:tcPr>
          <w:p>
            <w:pPr>
              <w:spacing w:after="0"/>
              <w:rPr>
                <w:sz w:val="12"/>
                <w:szCs w:val="12"/>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5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1820" w:type="dxa"/>
            <w:vAlign w:val="bottom"/>
          </w:tcPr>
          <w:p>
            <w:pPr>
              <w:spacing w:after="0"/>
              <w:rPr>
                <w:sz w:val="13"/>
                <w:szCs w:val="13"/>
                <w:color w:val="auto"/>
              </w:rPr>
            </w:pPr>
          </w:p>
        </w:tc>
        <w:tc>
          <w:tcPr>
            <w:tcW w:w="1840" w:type="dxa"/>
            <w:vAlign w:val="bottom"/>
            <w:gridSpan w:val="2"/>
          </w:tcPr>
          <w:p>
            <w:pPr>
              <w:jc w:val="center"/>
              <w:ind w:right="940"/>
              <w:spacing w:after="0"/>
              <w:rPr>
                <w:sz w:val="20"/>
                <w:szCs w:val="20"/>
                <w:color w:val="auto"/>
              </w:rPr>
            </w:pPr>
            <w:r>
              <w:rPr>
                <w:rFonts w:ascii="Times New Roman" w:cs="Times New Roman" w:eastAsia="Times New Roman" w:hAnsi="Times New Roman"/>
                <w:sz w:val="12"/>
                <w:szCs w:val="12"/>
                <w:color w:val="auto"/>
                <w:w w:val="99"/>
              </w:rPr>
              <w:t>None</w:t>
            </w:r>
          </w:p>
        </w:tc>
        <w:tc>
          <w:tcPr>
            <w:tcW w:w="9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color w:val="auto"/>
                <w:w w:val="96"/>
              </w:rPr>
              <w:t>N/A</w:t>
            </w: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44"/>
        </w:trPr>
        <w:tc>
          <w:tcPr>
            <w:tcW w:w="498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Emerging growth</w:t>
            </w:r>
          </w:p>
        </w:tc>
        <w:tc>
          <w:tcPr>
            <w:tcW w:w="0" w:type="dxa"/>
            <w:vAlign w:val="bottom"/>
          </w:tcPr>
          <w:p>
            <w:pPr>
              <w:spacing w:after="0"/>
              <w:rPr>
                <w:sz w:val="1"/>
                <w:szCs w:val="1"/>
                <w:color w:val="auto"/>
              </w:rPr>
            </w:pPr>
          </w:p>
        </w:tc>
      </w:tr>
      <w:tr>
        <w:trPr>
          <w:trHeight w:val="159"/>
        </w:trPr>
        <w:tc>
          <w:tcPr>
            <w:tcW w:w="4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0" w:type="dxa"/>
            <w:vAlign w:val="bottom"/>
          </w:tcPr>
          <w:p>
            <w:pPr>
              <w:spacing w:after="0"/>
              <w:rPr>
                <w:sz w:val="1"/>
                <w:szCs w:val="1"/>
                <w:color w:val="auto"/>
              </w:rPr>
            </w:pPr>
          </w:p>
        </w:tc>
      </w:tr>
      <w:tr>
        <w:trPr>
          <w:trHeight w:val="97"/>
        </w:trPr>
        <w:tc>
          <w:tcPr>
            <w:tcW w:w="4980" w:type="dxa"/>
            <w:vAlign w:val="bottom"/>
            <w:vMerge w:val="continue"/>
          </w:tcPr>
          <w:p>
            <w:pPr>
              <w:spacing w:after="0"/>
              <w:rPr>
                <w:sz w:val="8"/>
                <w:szCs w:val="8"/>
                <w:color w:val="auto"/>
              </w:rPr>
            </w:pPr>
          </w:p>
        </w:tc>
        <w:tc>
          <w:tcPr>
            <w:tcW w:w="2360" w:type="dxa"/>
            <w:vAlign w:val="bottom"/>
          </w:tcPr>
          <w:p>
            <w:pPr>
              <w:jc w:val="center"/>
              <w:spacing w:after="0" w:line="98"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35"/>
        </w:trPr>
        <w:tc>
          <w:tcPr>
            <w:tcW w:w="49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The Connecticut Light and Power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498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23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8" w:right="100"/>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tbl>
      <w:tblPr>
        <w:tblLayout w:type="fixed"/>
        <w:tblInd w:w="8" w:type="dxa"/>
        <w:tblCellMar>
          <w:top w:w="0" w:type="dxa"/>
          <w:left w:w="0" w:type="dxa"/>
          <w:bottom w:w="0" w:type="dxa"/>
          <w:right w:w="0" w:type="dxa"/>
        </w:tblCellMar>
      </w:tblPr>
      <w:tr>
        <w:trPr>
          <w:trHeight w:val="147"/>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Eversource Energy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The Connecticut Light and Power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4"/>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NSTAR Electric Company</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201"/>
        </w:trPr>
        <w:tc>
          <w:tcPr>
            <w:tcW w:w="4120" w:type="dxa"/>
            <w:vAlign w:val="bottom"/>
          </w:tcPr>
          <w:p>
            <w:pPr>
              <w:spacing w:after="0"/>
              <w:rPr>
                <w:sz w:val="20"/>
                <w:szCs w:val="20"/>
                <w:color w:val="auto"/>
              </w:rPr>
            </w:pPr>
            <w:r>
              <w:rPr>
                <w:rFonts w:ascii="Times New Roman" w:cs="Times New Roman" w:eastAsia="Times New Roman" w:hAnsi="Times New Roman"/>
                <w:sz w:val="12"/>
                <w:szCs w:val="12"/>
                <w:color w:val="auto"/>
              </w:rPr>
              <w:t>Public Service Company of New Hampshire</w:t>
            </w:r>
          </w:p>
        </w:tc>
        <w:tc>
          <w:tcPr>
            <w:tcW w:w="7180" w:type="dxa"/>
            <w:vAlign w:val="bottom"/>
          </w:tcPr>
          <w:p>
            <w:pPr>
              <w:ind w:left="1980"/>
              <w:spacing w:after="0" w:line="121" w:lineRule="exact"/>
              <w:rPr>
                <w:sz w:val="20"/>
                <w:szCs w:val="20"/>
                <w:color w:val="auto"/>
              </w:rPr>
            </w:pPr>
            <w:r>
              <w:rPr>
                <w:rFonts w:ascii="MS PGothic" w:cs="MS PGothic" w:eastAsia="MS PGothic" w:hAnsi="MS PGothic"/>
                <w:sz w:val="12"/>
                <w:szCs w:val="12"/>
                <w:color w:val="auto"/>
              </w:rPr>
              <w:t>☐</w:t>
            </w:r>
          </w:p>
        </w:tc>
      </w:tr>
      <w:tr>
        <w:trPr>
          <w:trHeight w:val="141"/>
        </w:trPr>
        <w:tc>
          <w:tcPr>
            <w:tcW w:w="4120" w:type="dxa"/>
            <w:vAlign w:val="bottom"/>
            <w:tcBorders>
              <w:bottom w:val="single" w:sz="8" w:color="auto"/>
            </w:tcBorders>
          </w:tcPr>
          <w:p>
            <w:pPr>
              <w:spacing w:after="0"/>
              <w:rPr>
                <w:sz w:val="12"/>
                <w:szCs w:val="12"/>
                <w:color w:val="auto"/>
              </w:rPr>
            </w:pPr>
          </w:p>
        </w:tc>
        <w:tc>
          <w:tcPr>
            <w:tcW w:w="7180" w:type="dxa"/>
            <w:vAlign w:val="bottom"/>
            <w:tcBorders>
              <w:bottom w:val="single" w:sz="8" w:color="auto"/>
            </w:tcBorders>
          </w:tcPr>
          <w:p>
            <w:pPr>
              <w:spacing w:after="0"/>
              <w:rPr>
                <w:sz w:val="12"/>
                <w:szCs w:val="1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7180" w:type="dxa"/>
            <w:vAlign w:val="bottom"/>
            <w:tcBorders>
              <w:bottom w:val="single" w:sz="8" w:color="auto"/>
            </w:tcBorders>
          </w:tcPr>
          <w:p>
            <w:pPr>
              <w:spacing w:after="0" w:line="20" w:lineRule="exact"/>
              <w:rPr>
                <w:sz w:val="1"/>
                <w:szCs w:val="1"/>
                <w:color w:val="auto"/>
              </w:rPr>
            </w:pPr>
          </w:p>
        </w:tc>
      </w:tr>
      <w:tr>
        <w:trPr>
          <w:trHeight w:val="453"/>
        </w:trPr>
        <w:tc>
          <w:tcPr>
            <w:tcW w:w="4120" w:type="dxa"/>
            <w:vAlign w:val="bottom"/>
            <w:tcBorders>
              <w:bottom w:val="single" w:sz="8" w:color="auto"/>
            </w:tcBorders>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382"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2</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Conditions.</w:t>
      </w:r>
    </w:p>
    <w:p>
      <w:pPr>
        <w:spacing w:after="0" w:line="15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On February 11, 2025, Eversource Energy issued a news release announcing its unaudited results of operations for the three- and twelve-month periods ended December 31, 2024 and related financial information for certain of its subsidiaries as of and for the same period. A copy of the news release and related unaudited financial reports are attached as Exhibits 99.1 and 99.2 and are incorporated herein by reference thereto.</w:t>
      </w:r>
    </w:p>
    <w:p>
      <w:pPr>
        <w:spacing w:after="0" w:line="111" w:lineRule="exact"/>
        <w:rPr>
          <w:sz w:val="20"/>
          <w:szCs w:val="20"/>
          <w:color w:val="auto"/>
        </w:rPr>
      </w:pPr>
    </w:p>
    <w:p>
      <w:pPr>
        <w:ind w:right="18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2.02, including Exhibits 99.1 and 99.2, shall not be deemed “filed” with the Securities and Exchange Commission (“SEC”) nor incorporated by reference in any registration statement filed by Eversource Energy or any subsidiary thereof under the Securities Act of 1933, as amended (the “Securities Act”), unless specified otherwise.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7</w:t>
      </w:r>
      <w:r>
        <w:rPr>
          <w:sz w:val="20"/>
          <w:szCs w:val="20"/>
          <w:color w:val="auto"/>
        </w:rPr>
        <w:tab/>
      </w:r>
      <w:r>
        <w:rPr>
          <w:rFonts w:ascii="Times New Roman" w:cs="Times New Roman" w:eastAsia="Times New Roman" w:hAnsi="Times New Roman"/>
          <w:sz w:val="11"/>
          <w:szCs w:val="11"/>
          <w:b w:val="1"/>
          <w:bCs w:val="1"/>
          <w:color w:val="auto"/>
        </w:rPr>
        <w:t>Regulation FD</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2"/>
          <w:szCs w:val="12"/>
          <w:color w:val="auto"/>
        </w:rPr>
        <w:t>On February 12, 2025, Eversource Energy will webcast a conference call with financial analysts during which senior management will discuss the company’s financial performance through the fourth quarter of 2024. The webcast will be accessible from the Investors section of the Eversource Energy website at www.eversource.com. Attached as Exhibit 99.3 and incorporated herein by reference are the slides to be discussed by Eversource Energy during the conference call.</w:t>
      </w:r>
    </w:p>
    <w:p>
      <w:pPr>
        <w:spacing w:after="0" w:line="119" w:lineRule="exact"/>
        <w:rPr>
          <w:sz w:val="20"/>
          <w:szCs w:val="20"/>
          <w:color w:val="auto"/>
        </w:rPr>
      </w:pPr>
    </w:p>
    <w:p>
      <w:pPr>
        <w:ind w:right="40" w:firstLine="432"/>
        <w:spacing w:after="0" w:line="279" w:lineRule="auto"/>
        <w:rPr>
          <w:sz w:val="20"/>
          <w:szCs w:val="20"/>
          <w:color w:val="auto"/>
        </w:rPr>
      </w:pPr>
      <w:r>
        <w:rPr>
          <w:rFonts w:ascii="Times New Roman" w:cs="Times New Roman" w:eastAsia="Times New Roman" w:hAnsi="Times New Roman"/>
          <w:sz w:val="12"/>
          <w:szCs w:val="12"/>
          <w:color w:val="auto"/>
        </w:rPr>
        <w:t>The information contained in this Item 7.01, including Exhibit 99.3, shall not be deemed “filed” with the SEC nor incorporated by reference into any registration statement filed by Eversource Energy or any subsidiary thereof under the Securities Act, unless specified otherwise.</w:t>
      </w:r>
    </w:p>
    <w:p>
      <w:pPr>
        <w:spacing w:after="0" w:line="10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Section 9</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15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Exhibit</w:t>
      </w:r>
    </w:p>
    <w:p>
      <w:pPr>
        <w:spacing w:after="0" w:line="17" w:lineRule="exact"/>
        <w:rPr>
          <w:sz w:val="20"/>
          <w:szCs w:val="20"/>
          <w:color w:val="auto"/>
        </w:rPr>
      </w:pPr>
    </w:p>
    <w:p>
      <w:pPr>
        <w:ind w:left="220"/>
        <w:spacing w:after="0"/>
        <w:tabs>
          <w:tab w:leader="none" w:pos="840" w:val="left"/>
        </w:tabs>
        <w:rPr>
          <w:sz w:val="20"/>
          <w:szCs w:val="20"/>
          <w:color w:val="auto"/>
        </w:rPr>
      </w:pPr>
      <w:r>
        <w:rPr>
          <w:rFonts w:ascii="Times New Roman" w:cs="Times New Roman" w:eastAsia="Times New Roman" w:hAnsi="Times New Roman"/>
          <w:sz w:val="12"/>
          <w:szCs w:val="12"/>
          <w:u w:val="single" w:color="auto"/>
          <w:color w:val="auto"/>
        </w:rPr>
        <w:t>Number</w:t>
      </w:r>
      <w:r>
        <w:rPr>
          <w:sz w:val="20"/>
          <w:szCs w:val="20"/>
          <w:color w:val="auto"/>
        </w:rPr>
        <w:tab/>
      </w:r>
      <w:r>
        <w:rPr>
          <w:rFonts w:ascii="Times New Roman" w:cs="Times New Roman" w:eastAsia="Times New Roman" w:hAnsi="Times New Roman"/>
          <w:sz w:val="12"/>
          <w:szCs w:val="12"/>
          <w:u w:val="single" w:color="auto"/>
          <w:color w:val="auto"/>
        </w:rPr>
        <w:t>Description</w:t>
      </w:r>
    </w:p>
    <w:p>
      <w:pPr>
        <w:spacing w:after="0" w:line="40" w:lineRule="exact"/>
        <w:rPr>
          <w:sz w:val="20"/>
          <w:szCs w:val="20"/>
          <w:color w:val="auto"/>
        </w:rPr>
      </w:pPr>
    </w:p>
    <w:p>
      <w:pPr>
        <w:ind w:left="320"/>
        <w:spacing w:after="0"/>
        <w:tabs>
          <w:tab w:leader="none" w:pos="840" w:val="left"/>
        </w:tabs>
        <w:rPr>
          <w:sz w:val="20"/>
          <w:szCs w:val="20"/>
          <w:color w:val="auto"/>
        </w:rPr>
      </w:pPr>
      <w:r>
        <w:rPr>
          <w:rFonts w:ascii="Times New Roman" w:cs="Times New Roman" w:eastAsia="Times New Roman" w:hAnsi="Times New Roman"/>
          <w:sz w:val="12"/>
          <w:szCs w:val="12"/>
          <w:u w:val="single" w:color="auto"/>
          <w:color w:val="0000EE"/>
        </w:rPr>
        <w:t>99.1</w:t>
      </w:r>
      <w:r>
        <w:rPr>
          <w:sz w:val="20"/>
          <w:szCs w:val="20"/>
          <w:color w:val="auto"/>
        </w:rPr>
        <w:tab/>
      </w:r>
      <w:r>
        <w:rPr>
          <w:rFonts w:ascii="Times New Roman" w:cs="Times New Roman" w:eastAsia="Times New Roman" w:hAnsi="Times New Roman"/>
          <w:sz w:val="11"/>
          <w:szCs w:val="11"/>
          <w:u w:val="single" w:color="auto"/>
          <w:color w:val="0000EE"/>
        </w:rPr>
        <w:t>News Release of Eversource Energy dated February 11, 2025.</w:t>
      </w:r>
    </w:p>
    <w:p>
      <w:pPr>
        <w:spacing w:after="0" w:line="51" w:lineRule="exact"/>
        <w:rPr>
          <w:sz w:val="20"/>
          <w:szCs w:val="20"/>
          <w:color w:val="auto"/>
        </w:rPr>
      </w:pPr>
    </w:p>
    <w:p>
      <w:pPr>
        <w:ind w:left="860" w:hanging="536"/>
        <w:spacing w:after="0" w:line="279" w:lineRule="auto"/>
        <w:tabs>
          <w:tab w:leader="none" w:pos="840" w:val="left"/>
        </w:tabs>
        <w:rPr>
          <w:sz w:val="20"/>
          <w:szCs w:val="20"/>
          <w:color w:val="auto"/>
        </w:rPr>
      </w:pPr>
      <w:r>
        <w:rPr>
          <w:rFonts w:ascii="Times New Roman" w:cs="Times New Roman" w:eastAsia="Times New Roman" w:hAnsi="Times New Roman"/>
          <w:sz w:val="12"/>
          <w:szCs w:val="12"/>
          <w:u w:val="single" w:color="auto"/>
          <w:color w:val="0000EE"/>
        </w:rPr>
        <w:t>99.2</w:t>
      </w:r>
      <w:r>
        <w:rPr>
          <w:sz w:val="20"/>
          <w:szCs w:val="20"/>
          <w:color w:val="auto"/>
        </w:rPr>
        <w:tab/>
      </w:r>
      <w:r>
        <w:rPr>
          <w:rFonts w:ascii="Times New Roman" w:cs="Times New Roman" w:eastAsia="Times New Roman" w:hAnsi="Times New Roman"/>
          <w:sz w:val="12"/>
          <w:szCs w:val="12"/>
          <w:u w:val="single" w:color="auto"/>
          <w:color w:val="0000EE"/>
        </w:rPr>
        <w:t>Unaudited Consolidated Statements of Income/(Loss) for the three months ended December 31, 2024 and 2023; and unaudited Consolidated Statements of Income/(Loss) for the years ended December 31, 2024, 2023 and 2022.</w:t>
      </w:r>
    </w:p>
    <w:p>
      <w:pPr>
        <w:spacing w:after="0" w:line="12" w:lineRule="exact"/>
        <w:rPr>
          <w:sz w:val="20"/>
          <w:szCs w:val="20"/>
          <w:color w:val="auto"/>
        </w:rPr>
      </w:pPr>
    </w:p>
    <w:p>
      <w:pPr>
        <w:ind w:left="320"/>
        <w:spacing w:after="0"/>
        <w:tabs>
          <w:tab w:leader="none" w:pos="840" w:val="left"/>
        </w:tabs>
        <w:rPr>
          <w:sz w:val="20"/>
          <w:szCs w:val="20"/>
          <w:color w:val="auto"/>
        </w:rPr>
      </w:pPr>
      <w:r>
        <w:rPr>
          <w:rFonts w:ascii="Times New Roman" w:cs="Times New Roman" w:eastAsia="Times New Roman" w:hAnsi="Times New Roman"/>
          <w:sz w:val="12"/>
          <w:szCs w:val="12"/>
          <w:u w:val="single" w:color="auto"/>
          <w:color w:val="0000EE"/>
        </w:rPr>
        <w:t>99.3</w:t>
      </w:r>
      <w:r>
        <w:rPr>
          <w:sz w:val="20"/>
          <w:szCs w:val="20"/>
          <w:color w:val="auto"/>
        </w:rPr>
        <w:tab/>
      </w:r>
      <w:r>
        <w:rPr>
          <w:rFonts w:ascii="Times New Roman" w:cs="Times New Roman" w:eastAsia="Times New Roman" w:hAnsi="Times New Roman"/>
          <w:sz w:val="11"/>
          <w:szCs w:val="11"/>
          <w:u w:val="single" w:color="auto"/>
          <w:color w:val="0000EE"/>
        </w:rPr>
        <w:t>February 12, 2025 presentation slides.</w:t>
      </w:r>
    </w:p>
    <w:p>
      <w:pPr>
        <w:spacing w:after="0" w:line="51" w:lineRule="exact"/>
        <w:rPr>
          <w:sz w:val="20"/>
          <w:szCs w:val="20"/>
          <w:color w:val="auto"/>
        </w:rPr>
      </w:pPr>
    </w:p>
    <w:p>
      <w:pPr>
        <w:ind w:left="340"/>
        <w:spacing w:after="0"/>
        <w:tabs>
          <w:tab w:leader="none" w:pos="84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Cover Page Interactive Data File (embedded within the Inline XBRL document).</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registrants have duly caused this report to be signed on their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EVERSOURCE ENERGY</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THE CONNECTICUT LIGHT AND POWER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NSTAR ELECTRIC COMPANY</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PUBLIC SERVICE COMPANY OF NEW HAMPSHIRE</w:t>
      </w:r>
    </w:p>
    <w:p>
      <w:pPr>
        <w:spacing w:after="0" w:line="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(Registrants)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20"/>
                <w:szCs w:val="20"/>
                <w:color w:val="auto"/>
              </w:rPr>
            </w:pPr>
            <w:r>
              <w:rPr>
                <w:rFonts w:ascii="Times New Roman" w:cs="Times New Roman" w:eastAsia="Times New Roman" w:hAnsi="Times New Roman"/>
                <w:sz w:val="12"/>
                <w:szCs w:val="12"/>
                <w:color w:val="auto"/>
              </w:rPr>
              <w:t>February 11, 2025</w:t>
            </w:r>
          </w:p>
        </w:tc>
        <w:tc>
          <w:tcPr>
            <w:tcW w:w="8060" w:type="dxa"/>
            <w:vAlign w:val="bottom"/>
            <w:gridSpan w:val="2"/>
          </w:tcPr>
          <w:p>
            <w:pPr>
              <w:ind w:left="2420"/>
              <w:spacing w:after="0"/>
              <w:rPr>
                <w:sz w:val="20"/>
                <w:szCs w:val="20"/>
                <w:color w:val="auto"/>
              </w:rPr>
            </w:pPr>
            <w:r>
              <w:rPr>
                <w:rFonts w:ascii="Times New Roman" w:cs="Times New Roman" w:eastAsia="Times New Roman" w:hAnsi="Times New Roman"/>
                <w:sz w:val="12"/>
                <w:szCs w:val="12"/>
                <w:color w:val="auto"/>
              </w:rPr>
              <w:t>By:   /s/ J</w:t>
            </w:r>
            <w:r>
              <w:rPr>
                <w:rFonts w:ascii="Times New Roman" w:cs="Times New Roman" w:eastAsia="Times New Roman" w:hAnsi="Times New Roman"/>
                <w:sz w:val="8"/>
                <w:szCs w:val="8"/>
                <w:color w:val="auto"/>
              </w:rPr>
              <w:t>ay</w:t>
            </w:r>
            <w:r>
              <w:rPr>
                <w:rFonts w:ascii="Times New Roman" w:cs="Times New Roman" w:eastAsia="Times New Roman" w:hAnsi="Times New Roman"/>
                <w:sz w:val="12"/>
                <w:szCs w:val="12"/>
                <w:color w:val="auto"/>
              </w:rPr>
              <w:t xml:space="preserve"> S. B</w:t>
            </w:r>
            <w:r>
              <w:rPr>
                <w:rFonts w:ascii="Times New Roman" w:cs="Times New Roman" w:eastAsia="Times New Roman" w:hAnsi="Times New Roman"/>
                <w:sz w:val="8"/>
                <w:szCs w:val="8"/>
                <w:color w:val="auto"/>
              </w:rPr>
              <w:t>uth</w:t>
            </w:r>
          </w:p>
        </w:tc>
      </w:tr>
      <w:tr>
        <w:trPr>
          <w:trHeight w:val="122"/>
        </w:trPr>
        <w:tc>
          <w:tcPr>
            <w:tcW w:w="32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Jay S. Buth</w:t>
            </w:r>
          </w:p>
        </w:tc>
      </w:tr>
      <w:tr>
        <w:trPr>
          <w:trHeight w:val="155"/>
        </w:trPr>
        <w:tc>
          <w:tcPr>
            <w:tcW w:w="32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Vice President, Controller and Chief Accounting Officer</w:t>
            </w:r>
          </w:p>
        </w:tc>
      </w:tr>
      <w:tr>
        <w:trPr>
          <w:trHeight w:val="432"/>
        </w:trPr>
        <w:tc>
          <w:tcPr>
            <w:tcW w:w="3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3</w:t>
            </w: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4857750" cy="731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57750" cy="731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Eversource Energy Reports Full-Year &amp; Fourth Quarter 2024 Results</w:t>
      </w:r>
    </w:p>
    <w:p>
      <w:pPr>
        <w:spacing w:after="0" w:line="15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1"/>
          <w:szCs w:val="11"/>
          <w:b w:val="1"/>
          <w:bCs w:val="1"/>
          <w:color w:val="auto"/>
        </w:rPr>
        <w:t xml:space="preserve">HARTFORD, Conn. and BOSTON, Mass. (February 11, 2025) – </w:t>
      </w:r>
      <w:r>
        <w:rPr>
          <w:rFonts w:ascii="Times New Roman" w:cs="Times New Roman" w:eastAsia="Times New Roman" w:hAnsi="Times New Roman"/>
          <w:sz w:val="11"/>
          <w:szCs w:val="11"/>
          <w:color w:val="auto"/>
        </w:rPr>
        <w:t>Eversource Energy (NYSE: ES) today reported full-year 2024 earnings of $811.7 million, or $2.27 per share, compared with a full-year 2023 loss of $(442.2) million,</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or $(1.26) per share. Eversource also reported fourth quarter 2024 earnings of $72.5 million, or $0.20 per share, compared with a fourth quarter 2023 loss of $(1,288.5) million, or $(3.68) per share. Non-GAAP recurring earnings</w:t>
      </w:r>
    </w:p>
    <w:p>
      <w:pPr>
        <w:ind w:right="340"/>
        <w:spacing w:after="0" w:line="233" w:lineRule="auto"/>
        <w:rPr>
          <w:sz w:val="20"/>
          <w:szCs w:val="20"/>
          <w:color w:val="auto"/>
        </w:rPr>
      </w:pPr>
      <w:r>
        <w:rPr>
          <w:rFonts w:ascii="Times New Roman" w:cs="Times New Roman" w:eastAsia="Times New Roman" w:hAnsi="Times New Roman"/>
          <w:sz w:val="12"/>
          <w:szCs w:val="12"/>
          <w:color w:val="auto"/>
        </w:rPr>
        <w:t>totaled $1,634.0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$4.57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for the full-year 2024, and $370.8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$1.01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in the fourth quarter of 2024, compared with $1,517.7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$4.34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for the full-year 2023 and $333.5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or $0.95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in the fourth quarter of 2023. The Company’s 2024 updated non-GAAP recurring earnings guidance was between $4.52 per share and $4.60 per share.</w:t>
      </w:r>
    </w:p>
    <w:p>
      <w:pPr>
        <w:spacing w:after="0" w:line="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Results for the full-year 2024 include an aggregate net after-tax loss of $524.0 million, or $1.47 per share, related to Eversource Energy completing the sales of its offshore wind investments. Also, in the fourth quarter of 2024, the Company recorded an after-tax loss of $298.3 million related to the pending sale of the Aquarion Water Company. The full year 2024 impact of this expected loss is $0.83 per share while the fourth quarter 2024 impact is $0.81 per share. Results for the full-year and fourth quarter of 2023 include after-tax impairment charges of $1,953.0 million, or $5.58 per share, and $1,622.0 million, or $4.63 per share, respectively, related to Eversource Energy’s write-down to fair value of its offshore wind investment. In addition, results for the full-year 2023 included other after-tax non-recurring charges that totaled $6.9 million, or $0.02 per share. These impacts are excluded from non-GAAP recurring earnings.</w:t>
      </w:r>
    </w:p>
    <w:p>
      <w:pPr>
        <w:spacing w:after="0" w:line="125"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“In 2024, the diverse and talented people of Eversource once again distinguished themselves by achieving operational excellence and delivering solid financial results for our customers and shareholders,” said Chairman, President, and Chief Executive Officer Joe Nolan. “We worked hard to advance our region’s clean energy future, improve the already strong reliability and resiliency of our delivery networks, and enhance our customer experience."</w:t>
      </w:r>
    </w:p>
    <w:p>
      <w:pPr>
        <w:spacing w:after="0" w:line="11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“With the strategic decision to divest Aquarion, which is expected to close by late 2025, we will greatly strengthen our balance sheet and continue to focus on our regulated electric and natural gas utility businesses. While we see some headwinds in 2025, we also have extensive and attractive opportunities for system investments, as evidenced by a 10 percent increase in our five-year investment plan through 2029, that will strengthen the infrastructure in our region and support the growth of clean energy. We believe these opportunities will enable us to achieve our long-term growth rate of 5 to 7 percent,” Nolan added.</w:t>
      </w:r>
    </w:p>
    <w:p>
      <w:pPr>
        <w:spacing w:after="0" w:line="119"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2"/>
          <w:szCs w:val="12"/>
          <w:color w:val="auto"/>
        </w:rPr>
        <w:t>Eversource Energy’s annual projection for 2025 earnings is between $4.67 per share and $4.82 per share. The Company also expects that its cumulative long-term earnings per share growth rate would be in the range of 5 to 7 percent through 2029, using 2024 non-GAAP results of $4.57 per share</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as the base year. Eversource introduced its new five-year $24.2 billion investment plan for the years 2025 to 2029, excluding any capital investments related to Aquarion Water Company, which is an increase of nearly 10 percent or $2.1 billion dollars over its previous plan of $22.1 billion for the years 2024 to 2028. This increase is primarily due to higher transmission investment for the development of future substations and replacements for aging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184785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4" w:name="page5"/>
    <w:bookmarkEnd w:id="4"/>
    <w:p>
      <w:pPr>
        <w:ind w:right="320"/>
        <w:spacing w:after="0" w:line="279" w:lineRule="auto"/>
        <w:rPr>
          <w:sz w:val="20"/>
          <w:szCs w:val="20"/>
          <w:color w:val="auto"/>
        </w:rPr>
      </w:pPr>
      <w:r>
        <w:rPr>
          <w:rFonts w:ascii="Times New Roman" w:cs="Times New Roman" w:eastAsia="Times New Roman" w:hAnsi="Times New Roman"/>
          <w:sz w:val="12"/>
          <w:szCs w:val="12"/>
          <w:color w:val="auto"/>
        </w:rPr>
        <w:t>Eversource expects to raise $1.2 billion of equity, excluding the annual equity issuances related to its dividend reinvestment and equity compensation programs, over its forecast period of 2025-2029. The majority of this equity is expected to be raised in the latter half of the forecast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Transmission</w:t>
      </w:r>
    </w:p>
    <w:p>
      <w:pPr>
        <w:spacing w:after="0" w:line="154"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Eversource Energy’s transmission segment earned $724.6 million in 2024, compared with earnings of $643.4 million in 2023. Transmission earnings were $184.0 million in the fourth quarter of 2024, compared with $167.0 million in the fourth quarter of 2023. Transmission segment results improved primarily due to a higher level of investment in Eversource’s electric transmission system.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Electric Distribution</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Eversource Energy’s electric distribution segment earned $631.7 million in 2024, compared with earnings of $608.0 million in 2023. Electric distribution earned $110.4 million in the fourth quarter of 2024, compared with earnings of $103.7 million in the fourth quarter of 2023. Improved full-year and fourth-quarter results were due primarily to higher revenues from base distribution rate increases for Eversource’s Massachusetts and New Hampshire electric businesses and continued investments in Eversource’s distribution system, partially offset by higher non-tracked operations and maintenance (O&amp;M), interest, depreciation and property tax expense, as well as a higher effective tax rate. Full-year results were also impacted by the absence of the prior year benefit related to a favorable regulatory decision in New Hampshire.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Natural Gas Distribution</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Eversource Energy’s natural gas distribution segment earned $291.0 million in 2024, compared with earnings of $224.8 million in 2023. Natural gas distribution earned $103.4 million in the fourth quarter of 2024, compared with earnings of $76.5 million in the fourth quarter of 2023. Improved full-year and fourth-quarter results were due primarily to higher revenues from base distribution rate increases at Eversource’s Massachusetts natural gas businesses and continued investments in Eversource’s natural gas infrastructure, partially offset by higher depreciation, interest and property tax expense. Full-year results also benefited from lower non-tracked O&amp;M expense and a lower effective tax 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Water Distribution</w:t>
      </w:r>
    </w:p>
    <w:p>
      <w:pPr>
        <w:spacing w:after="0" w:line="15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2"/>
          <w:szCs w:val="12"/>
          <w:color w:val="auto"/>
        </w:rPr>
        <w:t>Eversource Energy’s water distribution segment, excluding the loss on the pending sale noted above, earned $44.6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2024, compared with earnings of $33.1 million in 2023. Water distribution earned $7.5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fourth quarter of 2024, compared with earnings of $5.7 million in the fourth quarter of 2023. Improved full-year and fourth-quarter results were due primarily to lower depreciation expense resulting from lower depreciation rates ordered by PURA in its final decision in the Aquarion CT rate case, partially offset by lower authorized revenues. Results for both periods also reflect lower interest expense resulting from the repayment of debt that matured in August 2024, partially offset by higher year-to-date O&amp;M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2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Parent and Other Companies</w:t>
      </w:r>
    </w:p>
    <w:p>
      <w:pPr>
        <w:spacing w:after="0" w:line="156" w:lineRule="exact"/>
        <w:rPr>
          <w:sz w:val="20"/>
          <w:szCs w:val="20"/>
          <w:color w:val="auto"/>
        </w:rPr>
      </w:pPr>
    </w:p>
    <w:p>
      <w:pPr>
        <w:ind w:right="140"/>
        <w:spacing w:after="0" w:line="206" w:lineRule="auto"/>
        <w:rPr>
          <w:sz w:val="20"/>
          <w:szCs w:val="20"/>
          <w:color w:val="auto"/>
        </w:rPr>
      </w:pPr>
      <w:r>
        <w:rPr>
          <w:rFonts w:ascii="Times New Roman" w:cs="Times New Roman" w:eastAsia="Times New Roman" w:hAnsi="Times New Roman"/>
          <w:sz w:val="12"/>
          <w:szCs w:val="12"/>
          <w:color w:val="auto"/>
        </w:rPr>
        <w:t>Eversource Energy parent and other companies’ earnings, excluding the losses on the offshore wind investments and transaction and other charges noted above, were $(57.9)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2024 and $8.4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2023. The earnings were $(34.5)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fourth quarter of 2024 and $(19.4) million</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 xml:space="preserve"> in the fourth quarter of 2023. Losses in both periods are primarily the result of higher interest expense, partially offset by a lower effective tax rate. Full-year results also reflect the absence of the prior year net benefit from the disposition of Eversource's interest in a clean energy fund.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Eversource Energy Consolidated Earnings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reconciles 2024 and 2023 fourth quarter and full-year GAAP earnings per share:</w:t>
      </w:r>
    </w:p>
    <w:p>
      <w:pPr>
        <w:sectPr>
          <w:pgSz w:w="11900" w:h="16838" w:orient="portrait"/>
          <w:cols w:equalWidth="0" w:num="1">
            <w:col w:w="11220"/>
          </w:cols>
          <w:pgMar w:left="300" w:top="269" w:right="37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b w:val="1"/>
          <w:bCs w:val="1"/>
          <w:color w:val="auto"/>
        </w:rPr>
        <w:t>2024</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7680" w:type="dxa"/>
            <w:vAlign w:val="bottom"/>
          </w:tcPr>
          <w:p>
            <w:pPr>
              <w:spacing w:after="0"/>
              <w:rPr>
                <w:sz w:val="12"/>
                <w:szCs w:val="12"/>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Fourth</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6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Reported GAAP EPS</w:t>
            </w:r>
          </w:p>
        </w:tc>
        <w:tc>
          <w:tcPr>
            <w:tcW w:w="9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Quarter</w:t>
            </w:r>
          </w:p>
        </w:tc>
        <w:tc>
          <w:tcPr>
            <w:tcW w:w="3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2"/>
                <w:szCs w:val="12"/>
                <w:b w:val="1"/>
                <w:bCs w:val="1"/>
                <w:color w:val="auto"/>
              </w:rPr>
              <w:t>Full Year</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80" w:type="dxa"/>
            <w:vAlign w:val="bottom"/>
            <w:vMerge w:val="continue"/>
          </w:tcPr>
          <w:p>
            <w:pPr>
              <w:spacing w:after="0"/>
              <w:rPr>
                <w:sz w:val="11"/>
                <w:szCs w:val="11"/>
                <w:color w:val="auto"/>
              </w:rPr>
            </w:pPr>
          </w:p>
        </w:tc>
        <w:tc>
          <w:tcPr>
            <w:tcW w:w="920" w:type="dxa"/>
            <w:vAlign w:val="bottom"/>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(3.68)</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gridSpan w:val="3"/>
          </w:tcPr>
          <w:p>
            <w:pPr>
              <w:jc w:val="center"/>
              <w:ind w:left="700"/>
              <w:spacing w:after="0" w:line="133" w:lineRule="exact"/>
              <w:rPr>
                <w:sz w:val="20"/>
                <w:szCs w:val="20"/>
                <w:color w:val="auto"/>
              </w:rPr>
            </w:pPr>
            <w:r>
              <w:rPr>
                <w:rFonts w:ascii="Times New Roman" w:cs="Times New Roman" w:eastAsia="Times New Roman" w:hAnsi="Times New Roman"/>
                <w:sz w:val="12"/>
                <w:szCs w:val="12"/>
                <w:b w:val="1"/>
                <w:bCs w:val="1"/>
                <w:color w:val="auto"/>
                <w:w w:val="96"/>
              </w:rPr>
              <w:t>(1.26)</w:t>
            </w:r>
          </w:p>
        </w:tc>
        <w:tc>
          <w:tcPr>
            <w:tcW w:w="0" w:type="dxa"/>
            <w:vAlign w:val="bottom"/>
          </w:tcPr>
          <w:p>
            <w:pPr>
              <w:spacing w:after="0"/>
              <w:rPr>
                <w:sz w:val="1"/>
                <w:szCs w:val="1"/>
                <w:color w:val="auto"/>
              </w:rPr>
            </w:pPr>
          </w:p>
        </w:tc>
      </w:tr>
      <w:tr>
        <w:trPr>
          <w:trHeight w:val="122"/>
        </w:trPr>
        <w:tc>
          <w:tcPr>
            <w:tcW w:w="76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Higher electric transmission segment earnings in 2024, net of share dilution</w:t>
            </w:r>
          </w:p>
        </w:tc>
        <w:tc>
          <w:tcPr>
            <w:tcW w:w="9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0.03</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left="720"/>
              <w:spacing w:after="0" w:line="122" w:lineRule="exact"/>
              <w:rPr>
                <w:sz w:val="20"/>
                <w:szCs w:val="20"/>
                <w:color w:val="auto"/>
              </w:rPr>
            </w:pPr>
            <w:r>
              <w:rPr>
                <w:rFonts w:ascii="Times New Roman" w:cs="Times New Roman" w:eastAsia="Times New Roman" w:hAnsi="Times New Roman"/>
                <w:sz w:val="12"/>
                <w:szCs w:val="12"/>
                <w:color w:val="auto"/>
                <w:w w:val="95"/>
              </w:rPr>
              <w:t>0.19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Higher electric distribution segment revenues, partially offset by higher non-tracked O&amp;M, interest, depreciation, property taxes, higher effective tax rate and</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share dilution, and the year-to-date (YTD) absence of a prior year regulatory benefit in New Hampshire</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020" w:type="dxa"/>
            <w:vAlign w:val="bottom"/>
            <w:gridSpan w:val="2"/>
          </w:tcPr>
          <w:p>
            <w:pPr>
              <w:jc w:val="center"/>
              <w:ind w:left="720"/>
              <w:spacing w:after="0"/>
              <w:rPr>
                <w:sz w:val="20"/>
                <w:szCs w:val="20"/>
                <w:color w:val="auto"/>
              </w:rPr>
            </w:pPr>
            <w:r>
              <w:rPr>
                <w:rFonts w:ascii="Times New Roman" w:cs="Times New Roman" w:eastAsia="Times New Roman" w:hAnsi="Times New Roman"/>
                <w:sz w:val="12"/>
                <w:szCs w:val="12"/>
                <w:color w:val="auto"/>
                <w:w w:val="95"/>
              </w:rPr>
              <w:t>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Higher natural gas distribution segment revenues and lower YTD non-tracked O&amp;M, partially offset by higher depreciation, interest, property taxes and share</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dilution</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0.06</w:t>
            </w:r>
          </w:p>
        </w:tc>
        <w:tc>
          <w:tcPr>
            <w:tcW w:w="220" w:type="dxa"/>
            <w:vAlign w:val="bottom"/>
          </w:tcPr>
          <w:p>
            <w:pPr>
              <w:spacing w:after="0"/>
              <w:rPr>
                <w:sz w:val="13"/>
                <w:szCs w:val="13"/>
                <w:color w:val="auto"/>
              </w:rPr>
            </w:pPr>
          </w:p>
        </w:tc>
        <w:tc>
          <w:tcPr>
            <w:tcW w:w="1020" w:type="dxa"/>
            <w:vAlign w:val="bottom"/>
            <w:gridSpan w:val="2"/>
          </w:tcPr>
          <w:p>
            <w:pPr>
              <w:jc w:val="center"/>
              <w:ind w:left="720"/>
              <w:spacing w:after="0"/>
              <w:rPr>
                <w:sz w:val="20"/>
                <w:szCs w:val="20"/>
                <w:color w:val="auto"/>
              </w:rPr>
            </w:pPr>
            <w:r>
              <w:rPr>
                <w:rFonts w:ascii="Times New Roman" w:cs="Times New Roman" w:eastAsia="Times New Roman" w:hAnsi="Times New Roman"/>
                <w:sz w:val="12"/>
                <w:szCs w:val="12"/>
                <w:color w:val="auto"/>
                <w:w w:val="95"/>
              </w:rPr>
              <w:t>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Higher water distribution segment earnings due to lower depreciation and interest expense, partially offset by higher YTD O&amp;M and lower authorized</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revenues</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tcPr>
          <w:p>
            <w:pPr>
              <w:spacing w:after="0"/>
              <w:rPr>
                <w:sz w:val="13"/>
                <w:szCs w:val="13"/>
                <w:color w:val="auto"/>
              </w:rPr>
            </w:pPr>
          </w:p>
        </w:tc>
        <w:tc>
          <w:tcPr>
            <w:tcW w:w="1020" w:type="dxa"/>
            <w:vAlign w:val="bottom"/>
            <w:gridSpan w:val="2"/>
          </w:tcPr>
          <w:p>
            <w:pPr>
              <w:jc w:val="center"/>
              <w:ind w:left="720"/>
              <w:spacing w:after="0"/>
              <w:rPr>
                <w:sz w:val="20"/>
                <w:szCs w:val="20"/>
                <w:color w:val="auto"/>
              </w:rPr>
            </w:pPr>
            <w:r>
              <w:rPr>
                <w:rFonts w:ascii="Times New Roman" w:cs="Times New Roman" w:eastAsia="Times New Roman" w:hAnsi="Times New Roman"/>
                <w:sz w:val="12"/>
                <w:szCs w:val="12"/>
                <w:color w:val="auto"/>
                <w:w w:val="95"/>
              </w:rPr>
              <w:t>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At parent and other companies, higher interest expense, partially offset by a lower effective tax rate, as well as the YTD absence of a prior year benefit from</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the liquidation of an investment in a clean energy fund</w:t>
            </w:r>
          </w:p>
        </w:tc>
        <w:tc>
          <w:tcPr>
            <w:tcW w:w="92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(0.04)</w:t>
            </w:r>
          </w:p>
        </w:tc>
        <w:tc>
          <w:tcPr>
            <w:tcW w:w="220" w:type="dxa"/>
            <w:vAlign w:val="bottom"/>
          </w:tcPr>
          <w:p>
            <w:pPr>
              <w:spacing w:after="0"/>
              <w:rPr>
                <w:sz w:val="13"/>
                <w:szCs w:val="13"/>
                <w:color w:val="auto"/>
              </w:rPr>
            </w:pPr>
          </w:p>
        </w:tc>
        <w:tc>
          <w:tcPr>
            <w:tcW w:w="1040" w:type="dxa"/>
            <w:vAlign w:val="bottom"/>
            <w:gridSpan w:val="3"/>
          </w:tcPr>
          <w:p>
            <w:pPr>
              <w:jc w:val="center"/>
              <w:ind w:left="700"/>
              <w:spacing w:after="0"/>
              <w:rPr>
                <w:sz w:val="20"/>
                <w:szCs w:val="20"/>
                <w:color w:val="auto"/>
              </w:rPr>
            </w:pPr>
            <w:r>
              <w:rPr>
                <w:rFonts w:ascii="Times New Roman" w:cs="Times New Roman" w:eastAsia="Times New Roman" w:hAnsi="Times New Roman"/>
                <w:sz w:val="12"/>
                <w:szCs w:val="12"/>
                <w:color w:val="auto"/>
                <w:w w:val="96"/>
              </w:rPr>
              <w:t>(0.19)</w:t>
            </w:r>
          </w:p>
        </w:tc>
        <w:tc>
          <w:tcPr>
            <w:tcW w:w="0" w:type="dxa"/>
            <w:vAlign w:val="bottom"/>
          </w:tcPr>
          <w:p>
            <w:pPr>
              <w:spacing w:after="0"/>
              <w:rPr>
                <w:sz w:val="1"/>
                <w:szCs w:val="1"/>
                <w:color w:val="auto"/>
              </w:rPr>
            </w:pPr>
          </w:p>
        </w:tc>
      </w:tr>
      <w:tr>
        <w:trPr>
          <w:trHeight w:val="153"/>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Losses on Offshore Wind Investments, and absence of transaction and other charges from 2023</w:t>
            </w: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4.63</w:t>
            </w:r>
          </w:p>
        </w:tc>
        <w:tc>
          <w:tcPr>
            <w:tcW w:w="220" w:type="dxa"/>
            <w:vAlign w:val="bottom"/>
          </w:tcPr>
          <w:p>
            <w:pPr>
              <w:spacing w:after="0"/>
              <w:rPr>
                <w:sz w:val="13"/>
                <w:szCs w:val="13"/>
                <w:color w:val="auto"/>
              </w:rPr>
            </w:pPr>
          </w:p>
        </w:tc>
        <w:tc>
          <w:tcPr>
            <w:tcW w:w="1020" w:type="dxa"/>
            <w:vAlign w:val="bottom"/>
            <w:gridSpan w:val="2"/>
          </w:tcPr>
          <w:p>
            <w:pPr>
              <w:jc w:val="center"/>
              <w:ind w:left="720"/>
              <w:spacing w:after="0"/>
              <w:rPr>
                <w:sz w:val="20"/>
                <w:szCs w:val="20"/>
                <w:color w:val="auto"/>
              </w:rPr>
            </w:pPr>
            <w:r>
              <w:rPr>
                <w:rFonts w:ascii="Times New Roman" w:cs="Times New Roman" w:eastAsia="Times New Roman" w:hAnsi="Times New Roman"/>
                <w:sz w:val="12"/>
                <w:szCs w:val="12"/>
                <w:color w:val="auto"/>
                <w:w w:val="95"/>
              </w:rPr>
              <w:t>4.13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680" w:type="dxa"/>
            <w:vAlign w:val="bottom"/>
          </w:tcPr>
          <w:p>
            <w:pPr>
              <w:spacing w:after="0"/>
              <w:rPr>
                <w:sz w:val="20"/>
                <w:szCs w:val="20"/>
                <w:color w:val="auto"/>
              </w:rPr>
            </w:pPr>
            <w:r>
              <w:rPr>
                <w:rFonts w:ascii="Times New Roman" w:cs="Times New Roman" w:eastAsia="Times New Roman" w:hAnsi="Times New Roman"/>
                <w:sz w:val="12"/>
                <w:szCs w:val="12"/>
                <w:color w:val="auto"/>
              </w:rPr>
              <w:t>Loss on pending sale of the water distribution business</w:t>
            </w:r>
          </w:p>
        </w:tc>
        <w:tc>
          <w:tcPr>
            <w:tcW w:w="92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(0.81)</w:t>
            </w:r>
          </w:p>
        </w:tc>
        <w:tc>
          <w:tcPr>
            <w:tcW w:w="220" w:type="dxa"/>
            <w:vAlign w:val="bottom"/>
          </w:tcPr>
          <w:p>
            <w:pPr>
              <w:spacing w:after="0"/>
              <w:rPr>
                <w:sz w:val="14"/>
                <w:szCs w:val="14"/>
                <w:color w:val="auto"/>
              </w:rPr>
            </w:pPr>
          </w:p>
        </w:tc>
        <w:tc>
          <w:tcPr>
            <w:tcW w:w="1040" w:type="dxa"/>
            <w:vAlign w:val="bottom"/>
            <w:gridSpan w:val="3"/>
          </w:tcPr>
          <w:p>
            <w:pPr>
              <w:jc w:val="center"/>
              <w:ind w:left="700"/>
              <w:spacing w:after="0"/>
              <w:rPr>
                <w:sz w:val="20"/>
                <w:szCs w:val="20"/>
                <w:color w:val="auto"/>
              </w:rPr>
            </w:pPr>
            <w:r>
              <w:rPr>
                <w:rFonts w:ascii="Times New Roman" w:cs="Times New Roman" w:eastAsia="Times New Roman" w:hAnsi="Times New Roman"/>
                <w:sz w:val="12"/>
                <w:szCs w:val="12"/>
                <w:color w:val="auto"/>
                <w:w w:val="96"/>
              </w:rPr>
              <w:t>(0.83)</w:t>
            </w:r>
          </w:p>
        </w:tc>
        <w:tc>
          <w:tcPr>
            <w:tcW w:w="0" w:type="dxa"/>
            <w:vAlign w:val="bottom"/>
          </w:tcPr>
          <w:p>
            <w:pPr>
              <w:spacing w:after="0"/>
              <w:rPr>
                <w:sz w:val="1"/>
                <w:szCs w:val="1"/>
                <w:color w:val="auto"/>
              </w:rPr>
            </w:pPr>
          </w:p>
        </w:tc>
      </w:tr>
      <w:tr>
        <w:trPr>
          <w:trHeight w:val="133"/>
        </w:trPr>
        <w:tc>
          <w:tcPr>
            <w:tcW w:w="76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Reported GAAP EPS</w:t>
            </w:r>
          </w:p>
        </w:tc>
        <w:tc>
          <w:tcPr>
            <w:tcW w:w="92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0.20</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gridSpan w:val="2"/>
          </w:tcPr>
          <w:p>
            <w:pPr>
              <w:jc w:val="center"/>
              <w:ind w:left="720"/>
              <w:spacing w:after="0" w:line="133" w:lineRule="exact"/>
              <w:rPr>
                <w:sz w:val="20"/>
                <w:szCs w:val="20"/>
                <w:color w:val="auto"/>
              </w:rPr>
            </w:pPr>
            <w:r>
              <w:rPr>
                <w:rFonts w:ascii="Times New Roman" w:cs="Times New Roman" w:eastAsia="Times New Roman" w:hAnsi="Times New Roman"/>
                <w:sz w:val="12"/>
                <w:szCs w:val="12"/>
                <w:b w:val="1"/>
                <w:bCs w:val="1"/>
                <w:color w:val="auto"/>
                <w:w w:val="95"/>
              </w:rPr>
              <w:t>2.27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-1245235</wp:posOffset>
            </wp:positionV>
            <wp:extent cx="7178040" cy="97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-1050925</wp:posOffset>
            </wp:positionV>
            <wp:extent cx="717804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8859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-673735</wp:posOffset>
            </wp:positionV>
            <wp:extent cx="717804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8859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-296545</wp:posOffset>
            </wp:positionV>
            <wp:extent cx="717804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-102235</wp:posOffset>
            </wp:positionV>
            <wp:extent cx="7178040" cy="97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-512445</wp:posOffset>
            </wp:positionH>
            <wp:positionV relativeFrom="paragraph">
              <wp:posOffset>182880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400" w:space="400"/>
            <w:col w:w="10420"/>
          </w:cols>
          <w:pgMar w:left="300" w:top="269" w:right="379" w:bottom="1440" w:gutter="0" w:footer="0" w:header="0"/>
          <w:type w:val="continuous"/>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color w:val="auto"/>
        </w:rPr>
        <w:t>Financial results for the fourth quarter and full-year 2024 and 2023 for Eversource Energy’s business segments and parent and other companies are noted below:</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Three months ended:</w:t>
            </w:r>
          </w:p>
        </w:tc>
        <w:tc>
          <w:tcPr>
            <w:tcW w:w="160" w:type="dxa"/>
            <w:vAlign w:val="bottom"/>
          </w:tcPr>
          <w:p>
            <w:pPr>
              <w:spacing w:after="0"/>
              <w:rPr>
                <w:sz w:val="13"/>
                <w:szCs w:val="13"/>
                <w:color w:val="auto"/>
              </w:rPr>
            </w:pPr>
          </w:p>
        </w:tc>
        <w:tc>
          <w:tcPr>
            <w:tcW w:w="13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80" w:type="dxa"/>
            <w:vAlign w:val="bottom"/>
          </w:tcPr>
          <w:p>
            <w:pPr>
              <w:spacing w:after="0"/>
              <w:rPr>
                <w:sz w:val="13"/>
                <w:szCs w:val="13"/>
                <w:color w:val="auto"/>
              </w:rPr>
            </w:pPr>
          </w:p>
        </w:tc>
        <w:tc>
          <w:tcPr>
            <w:tcW w:w="13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Pr>
          <w:p>
            <w:pPr>
              <w:spacing w:after="0"/>
              <w:rPr>
                <w:sz w:val="13"/>
                <w:szCs w:val="13"/>
                <w:color w:val="auto"/>
              </w:rPr>
            </w:pPr>
          </w:p>
        </w:tc>
        <w:tc>
          <w:tcPr>
            <w:tcW w:w="128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 xml:space="preserve">2024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1"/>
                <w:szCs w:val="11"/>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 xml:space="preserve">2023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(in millions, except EPS)</w:t>
            </w:r>
          </w:p>
        </w:tc>
        <w:tc>
          <w:tcPr>
            <w:tcW w:w="1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(Decrease)</w:t>
            </w: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(Decrease)</w:t>
            </w:r>
          </w:p>
        </w:tc>
        <w:tc>
          <w:tcPr>
            <w:tcW w:w="0" w:type="dxa"/>
            <w:vAlign w:val="bottom"/>
          </w:tcPr>
          <w:p>
            <w:pPr>
              <w:spacing w:after="0"/>
              <w:rPr>
                <w:sz w:val="1"/>
                <w:szCs w:val="1"/>
                <w:color w:val="auto"/>
              </w:rPr>
            </w:pPr>
          </w:p>
        </w:tc>
      </w:tr>
      <w:tr>
        <w:trPr>
          <w:trHeight w:val="142"/>
        </w:trPr>
        <w:tc>
          <w:tcPr>
            <w:tcW w:w="2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Electric Transmission</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167.0</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Electric Distribution</w:t>
            </w:r>
          </w:p>
        </w:tc>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110.4</w:t>
            </w:r>
          </w:p>
        </w:tc>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103.7</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6.7</w:t>
            </w: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0.30</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0.30</w:t>
            </w:r>
          </w:p>
        </w:tc>
        <w:tc>
          <w:tcPr>
            <w:tcW w:w="2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Natural Gas Distribution</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103.4</w:t>
            </w:r>
          </w:p>
        </w:tc>
        <w:tc>
          <w:tcPr>
            <w:tcW w:w="1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76.5</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26.9</w:t>
            </w: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0.28</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0.22</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0.06</w:t>
            </w:r>
          </w:p>
        </w:tc>
        <w:tc>
          <w:tcPr>
            <w:tcW w:w="1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600" w:type="dxa"/>
            <w:vAlign w:val="bottom"/>
            <w:gridSpan w:val="2"/>
          </w:tcPr>
          <w:p>
            <w:pPr>
              <w:spacing w:after="0" w:line="180" w:lineRule="exact"/>
              <w:rPr>
                <w:sz w:val="20"/>
                <w:szCs w:val="20"/>
                <w:color w:val="auto"/>
              </w:rPr>
            </w:pPr>
            <w:r>
              <w:rPr>
                <w:rFonts w:ascii="Times New Roman" w:cs="Times New Roman" w:eastAsia="Times New Roman" w:hAnsi="Times New Roman"/>
                <w:sz w:val="12"/>
                <w:szCs w:val="12"/>
                <w:color w:val="auto"/>
              </w:rPr>
              <w:t xml:space="preserve">Water Distribution </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w:t>
            </w:r>
          </w:p>
        </w:tc>
        <w:tc>
          <w:tcPr>
            <w:tcW w:w="1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w:t>
            </w: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0.02</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0.01</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0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2"/>
                <w:szCs w:val="12"/>
                <w:color w:val="auto"/>
              </w:rPr>
              <w:t xml:space="preserve">Parent and Other Companies </w:t>
            </w:r>
            <w:r>
              <w:rPr>
                <w:rFonts w:ascii="Times New Roman" w:cs="Times New Roman" w:eastAsia="Times New Roman" w:hAnsi="Times New Roman"/>
                <w:sz w:val="19"/>
                <w:szCs w:val="19"/>
                <w:color w:val="auto"/>
                <w:vertAlign w:val="superscript"/>
              </w:rPr>
              <w:t>1</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(34.5)</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(19.4)</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(15.1)</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(0.09)</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(0.05)</w:t>
            </w: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(0.04)</w:t>
            </w:r>
          </w:p>
        </w:tc>
        <w:tc>
          <w:tcPr>
            <w:tcW w:w="0" w:type="dxa"/>
            <w:vAlign w:val="bottom"/>
          </w:tcPr>
          <w:p>
            <w:pPr>
              <w:spacing w:after="0"/>
              <w:rPr>
                <w:sz w:val="1"/>
                <w:szCs w:val="1"/>
                <w:color w:val="auto"/>
              </w:rPr>
            </w:pPr>
          </w:p>
        </w:tc>
      </w:tr>
      <w:tr>
        <w:trPr>
          <w:trHeight w:val="133"/>
        </w:trPr>
        <w:tc>
          <w:tcPr>
            <w:tcW w:w="260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2"/>
                <w:szCs w:val="12"/>
                <w:color w:val="auto"/>
              </w:rPr>
              <w:t>Loss on Offshore Wind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60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Investments</w:t>
            </w:r>
          </w:p>
        </w:tc>
        <w:tc>
          <w:tcPr>
            <w:tcW w:w="16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(1,622.0)</w:t>
            </w:r>
          </w:p>
        </w:tc>
        <w:tc>
          <w:tcPr>
            <w:tcW w:w="2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1,622.0</w:t>
            </w: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(4.63)</w:t>
            </w:r>
          </w:p>
        </w:tc>
        <w:tc>
          <w:tcPr>
            <w:tcW w:w="2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00" w:type="dxa"/>
            <w:vAlign w:val="bottom"/>
            <w:gridSpan w:val="2"/>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Loss on pending sale of the</w:t>
            </w: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water distribution business</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(298.3)</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(298.3)</w:t>
            </w: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(0.81)</w:t>
            </w:r>
          </w:p>
        </w:tc>
        <w:tc>
          <w:tcPr>
            <w:tcW w:w="2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(0.81)</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Reported Earnings/(Loss)</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00" w:type="dxa"/>
            <w:vAlign w:val="bottom"/>
            <w:gridSpan w:val="2"/>
            <w:vMerge w:val="continue"/>
          </w:tcPr>
          <w:p>
            <w:pPr>
              <w:spacing w:after="0"/>
              <w:rPr>
                <w:sz w:val="11"/>
                <w:szCs w:val="11"/>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72.5</w:t>
            </w:r>
          </w:p>
        </w:tc>
        <w:tc>
          <w:tcPr>
            <w:tcW w:w="220" w:type="dxa"/>
            <w:vAlign w:val="bottom"/>
            <w:vMerge w:val="continue"/>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(1,288.5)</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1,361.0</w:t>
            </w:r>
          </w:p>
        </w:tc>
        <w:tc>
          <w:tcPr>
            <w:tcW w:w="24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0.20</w:t>
            </w:r>
          </w:p>
        </w:tc>
        <w:tc>
          <w:tcPr>
            <w:tcW w:w="22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(3.68)</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Full year ended:</w:t>
      </w:r>
    </w:p>
    <w:p>
      <w:pPr>
        <w:sectPr>
          <w:pgSz w:w="11900" w:h="16838" w:orient="portrait"/>
          <w:cols w:equalWidth="0" w:num="1">
            <w:col w:w="11308"/>
          </w:cols>
          <w:pgMar w:left="292" w:top="273" w:right="299" w:bottom="1440" w:gutter="0" w:footer="0" w:header="0"/>
        </w:sectPr>
      </w:pP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(in millions, except EPS)</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Electric Transmission</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Electric Distribution</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Natural Gas Distribution</w:t>
      </w:r>
    </w:p>
    <w:p>
      <w:pPr>
        <w:ind w:left="8"/>
        <w:spacing w:after="0" w:line="225" w:lineRule="auto"/>
        <w:rPr>
          <w:sz w:val="20"/>
          <w:szCs w:val="20"/>
          <w:color w:val="auto"/>
        </w:rPr>
      </w:pPr>
      <w:r>
        <w:rPr>
          <w:rFonts w:ascii="Times New Roman" w:cs="Times New Roman" w:eastAsia="Times New Roman" w:hAnsi="Times New Roman"/>
          <w:sz w:val="12"/>
          <w:szCs w:val="12"/>
          <w:color w:val="auto"/>
        </w:rPr>
        <w:t xml:space="preserve">Water Distribution </w:t>
      </w:r>
      <w:r>
        <w:rPr>
          <w:rFonts w:ascii="Times New Roman" w:cs="Times New Roman" w:eastAsia="Times New Roman" w:hAnsi="Times New Roman"/>
          <w:sz w:val="19"/>
          <w:szCs w:val="19"/>
          <w:color w:val="auto"/>
          <w:vertAlign w:val="superscript"/>
        </w:rPr>
        <w:t>1</w:t>
      </w:r>
    </w:p>
    <w:p>
      <w:pPr>
        <w:ind w:left="8"/>
        <w:spacing w:after="0" w:line="198" w:lineRule="auto"/>
        <w:rPr>
          <w:sz w:val="20"/>
          <w:szCs w:val="20"/>
          <w:color w:val="auto"/>
        </w:rPr>
      </w:pPr>
      <w:r>
        <w:rPr>
          <w:rFonts w:ascii="Times New Roman" w:cs="Times New Roman" w:eastAsia="Times New Roman" w:hAnsi="Times New Roman"/>
          <w:sz w:val="12"/>
          <w:szCs w:val="12"/>
          <w:color w:val="auto"/>
        </w:rPr>
        <w:t xml:space="preserve">Parent and Other Companies </w:t>
      </w:r>
      <w:r>
        <w:rPr>
          <w:rFonts w:ascii="Times New Roman" w:cs="Times New Roman" w:eastAsia="Times New Roman" w:hAnsi="Times New Roman"/>
          <w:sz w:val="19"/>
          <w:szCs w:val="19"/>
          <w:color w:val="auto"/>
          <w:vertAlign w:val="superscript"/>
        </w:rPr>
        <w:t>1</w:t>
      </w:r>
    </w:p>
    <w:p>
      <w:pPr>
        <w:ind w:left="108"/>
        <w:spacing w:after="0"/>
        <w:rPr>
          <w:sz w:val="20"/>
          <w:szCs w:val="20"/>
          <w:color w:val="auto"/>
        </w:rPr>
      </w:pPr>
      <w:r>
        <w:rPr>
          <w:rFonts w:ascii="Times New Roman" w:cs="Times New Roman" w:eastAsia="Times New Roman" w:hAnsi="Times New Roman"/>
          <w:sz w:val="12"/>
          <w:szCs w:val="12"/>
          <w:color w:val="auto"/>
        </w:rPr>
        <w:t>Losses on Offshore Wind</w:t>
      </w:r>
    </w:p>
    <w:p>
      <w:pPr>
        <w:spacing w:after="0" w:line="5"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Investments</w:t>
      </w:r>
    </w:p>
    <w:p>
      <w:pPr>
        <w:spacing w:after="0" w:line="6" w:lineRule="exact"/>
        <w:rPr>
          <w:sz w:val="20"/>
          <w:szCs w:val="20"/>
          <w:color w:val="auto"/>
        </w:rPr>
      </w:pPr>
    </w:p>
    <w:p>
      <w:pPr>
        <w:ind w:left="208" w:right="380" w:hanging="107"/>
        <w:spacing w:after="0" w:line="258" w:lineRule="auto"/>
        <w:rPr>
          <w:sz w:val="20"/>
          <w:szCs w:val="20"/>
          <w:color w:val="auto"/>
        </w:rPr>
      </w:pPr>
      <w:r>
        <w:rPr>
          <w:rFonts w:ascii="Times New Roman" w:cs="Times New Roman" w:eastAsia="Times New Roman" w:hAnsi="Times New Roman"/>
          <w:sz w:val="12"/>
          <w:szCs w:val="12"/>
          <w:color w:val="auto"/>
        </w:rPr>
        <w:t>Loss on pending sale of the water distribution business</w:t>
      </w:r>
    </w:p>
    <w:p>
      <w:pPr>
        <w:ind w:left="8" w:right="460"/>
        <w:spacing w:after="0" w:line="340" w:lineRule="auto"/>
        <w:rPr>
          <w:sz w:val="20"/>
          <w:szCs w:val="20"/>
          <w:color w:val="auto"/>
        </w:rPr>
      </w:pPr>
      <w:r>
        <w:rPr>
          <w:rFonts w:ascii="Times New Roman" w:cs="Times New Roman" w:eastAsia="Times New Roman" w:hAnsi="Times New Roman"/>
          <w:sz w:val="11"/>
          <w:szCs w:val="11"/>
          <w:color w:val="auto"/>
        </w:rPr>
        <w:t xml:space="preserve">Transaction and other charges </w:t>
      </w:r>
      <w:r>
        <w:rPr>
          <w:rFonts w:ascii="Times New Roman" w:cs="Times New Roman" w:eastAsia="Times New Roman" w:hAnsi="Times New Roman"/>
          <w:sz w:val="11"/>
          <w:szCs w:val="11"/>
          <w:b w:val="1"/>
          <w:bCs w:val="1"/>
          <w:color w:val="auto"/>
        </w:rPr>
        <w:t>Reported Earnings/(Loss)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0" w:type="dxa"/>
            <w:vAlign w:val="bottom"/>
          </w:tcPr>
          <w:p>
            <w:pPr>
              <w:spacing w:after="0"/>
              <w:rPr>
                <w:sz w:val="12"/>
                <w:szCs w:val="12"/>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80" w:type="dxa"/>
            <w:vAlign w:val="bottom"/>
          </w:tcPr>
          <w:p>
            <w:pPr>
              <w:spacing w:after="0"/>
              <w:rPr>
                <w:sz w:val="12"/>
                <w:szCs w:val="12"/>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200" w:type="dxa"/>
            <w:vAlign w:val="bottom"/>
          </w:tcPr>
          <w:p>
            <w:pPr>
              <w:spacing w:after="0"/>
              <w:rPr>
                <w:sz w:val="12"/>
                <w:szCs w:val="12"/>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20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 xml:space="preserve">2024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2"/>
                <w:szCs w:val="12"/>
                <w:color w:val="auto"/>
              </w:rPr>
            </w:pPr>
          </w:p>
        </w:tc>
        <w:tc>
          <w:tcPr>
            <w:tcW w:w="12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 xml:space="preserve">2023 EPS </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2"/>
                <w:szCs w:val="12"/>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Increase/</w:t>
            </w:r>
          </w:p>
        </w:tc>
        <w:tc>
          <w:tcPr>
            <w:tcW w:w="0" w:type="dxa"/>
            <w:vAlign w:val="bottom"/>
          </w:tcPr>
          <w:p>
            <w:pPr>
              <w:spacing w:after="0"/>
              <w:rPr>
                <w:sz w:val="1"/>
                <w:szCs w:val="1"/>
                <w:color w:val="auto"/>
              </w:rPr>
            </w:pPr>
          </w:p>
        </w:tc>
      </w:tr>
      <w:tr>
        <w:trPr>
          <w:trHeight w:val="159"/>
        </w:trPr>
        <w:tc>
          <w:tcPr>
            <w:tcW w:w="1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(Decrease)</w:t>
            </w:r>
          </w:p>
        </w:tc>
        <w:tc>
          <w:tcPr>
            <w:tcW w:w="2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(Decrease)</w:t>
            </w:r>
          </w:p>
        </w:tc>
        <w:tc>
          <w:tcPr>
            <w:tcW w:w="0" w:type="dxa"/>
            <w:vAlign w:val="bottom"/>
          </w:tcPr>
          <w:p>
            <w:pPr>
              <w:spacing w:after="0"/>
              <w:rPr>
                <w:sz w:val="1"/>
                <w:szCs w:val="1"/>
                <w:color w:val="auto"/>
              </w:rPr>
            </w:pPr>
          </w:p>
        </w:tc>
      </w:tr>
      <w:tr>
        <w:trPr>
          <w:trHeight w:val="140"/>
        </w:trPr>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724.6</w:t>
            </w:r>
          </w:p>
        </w:tc>
        <w:tc>
          <w:tcPr>
            <w:tcW w:w="220" w:type="dxa"/>
            <w:vAlign w:val="bottom"/>
          </w:tcPr>
          <w:p>
            <w:pPr>
              <w:spacing w:after="0"/>
              <w:rPr>
                <w:sz w:val="12"/>
                <w:szCs w:val="12"/>
                <w:color w:val="auto"/>
              </w:rPr>
            </w:pPr>
          </w:p>
        </w:tc>
        <w:tc>
          <w:tcPr>
            <w:tcW w:w="180" w:type="dxa"/>
            <w:vAlign w:val="bottom"/>
            <w:tcBorders>
              <w:top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643.4</w:t>
            </w:r>
          </w:p>
        </w:tc>
        <w:tc>
          <w:tcPr>
            <w:tcW w:w="240" w:type="dxa"/>
            <w:vAlign w:val="bottom"/>
          </w:tcPr>
          <w:p>
            <w:pPr>
              <w:spacing w:after="0"/>
              <w:rPr>
                <w:sz w:val="12"/>
                <w:szCs w:val="12"/>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81.2</w:t>
            </w:r>
          </w:p>
        </w:tc>
        <w:tc>
          <w:tcPr>
            <w:tcW w:w="240" w:type="dxa"/>
            <w:vAlign w:val="bottom"/>
          </w:tcPr>
          <w:p>
            <w:pPr>
              <w:spacing w:after="0"/>
              <w:rPr>
                <w:sz w:val="12"/>
                <w:szCs w:val="12"/>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220" w:type="dxa"/>
            <w:vAlign w:val="bottom"/>
          </w:tcPr>
          <w:p>
            <w:pPr>
              <w:spacing w:after="0"/>
              <w:rPr>
                <w:sz w:val="12"/>
                <w:szCs w:val="12"/>
                <w:color w:val="auto"/>
              </w:rPr>
            </w:pPr>
          </w:p>
        </w:tc>
        <w:tc>
          <w:tcPr>
            <w:tcW w:w="200" w:type="dxa"/>
            <w:vAlign w:val="bottom"/>
            <w:tcBorders>
              <w:top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center"/>
              <w:ind w:left="740"/>
              <w:spacing w:after="0"/>
              <w:rPr>
                <w:sz w:val="20"/>
                <w:szCs w:val="20"/>
                <w:color w:val="auto"/>
              </w:rPr>
            </w:pPr>
            <w:r>
              <w:rPr>
                <w:rFonts w:ascii="Times New Roman" w:cs="Times New Roman" w:eastAsia="Times New Roman" w:hAnsi="Times New Roman"/>
                <w:sz w:val="12"/>
                <w:szCs w:val="12"/>
                <w:color w:val="auto"/>
                <w:w w:val="95"/>
              </w:rPr>
              <w:t>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631.7</w:t>
            </w:r>
          </w:p>
        </w:tc>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608.0</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23.7</w:t>
            </w: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1.77</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1.74</w:t>
            </w:r>
          </w:p>
        </w:tc>
        <w:tc>
          <w:tcPr>
            <w:tcW w:w="200" w:type="dxa"/>
            <w:vAlign w:val="bottom"/>
          </w:tcPr>
          <w:p>
            <w:pPr>
              <w:spacing w:after="0"/>
              <w:rPr>
                <w:sz w:val="13"/>
                <w:szCs w:val="13"/>
                <w:color w:val="auto"/>
              </w:rPr>
            </w:pPr>
          </w:p>
        </w:tc>
        <w:tc>
          <w:tcPr>
            <w:tcW w:w="104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w w:val="95"/>
              </w:rPr>
              <w:t>0.03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291.0</w:t>
            </w:r>
          </w:p>
        </w:tc>
        <w:tc>
          <w:tcPr>
            <w:tcW w:w="18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224.8</w:t>
            </w:r>
          </w:p>
        </w:tc>
        <w:tc>
          <w:tcPr>
            <w:tcW w:w="2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66.2</w:t>
            </w:r>
          </w:p>
        </w:tc>
        <w:tc>
          <w:tcPr>
            <w:tcW w:w="20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0.81</w:t>
            </w:r>
          </w:p>
        </w:tc>
        <w:tc>
          <w:tcPr>
            <w:tcW w:w="200" w:type="dxa"/>
            <w:vAlign w:val="bottom"/>
          </w:tcPr>
          <w:p>
            <w:pPr>
              <w:spacing w:after="0"/>
              <w:rPr>
                <w:sz w:val="13"/>
                <w:szCs w:val="13"/>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0.64</w:t>
            </w:r>
          </w:p>
        </w:tc>
        <w:tc>
          <w:tcPr>
            <w:tcW w:w="200" w:type="dxa"/>
            <w:vAlign w:val="bottom"/>
          </w:tcPr>
          <w:p>
            <w:pPr>
              <w:spacing w:after="0"/>
              <w:rPr>
                <w:sz w:val="13"/>
                <w:szCs w:val="13"/>
                <w:color w:val="auto"/>
              </w:rPr>
            </w:pPr>
          </w:p>
        </w:tc>
        <w:tc>
          <w:tcPr>
            <w:tcW w:w="104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w w:val="95"/>
              </w:rPr>
              <w:t>0.17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44.6</w:t>
            </w:r>
          </w:p>
        </w:tc>
        <w:tc>
          <w:tcPr>
            <w:tcW w:w="1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33.1</w:t>
            </w:r>
          </w:p>
        </w:tc>
        <w:tc>
          <w:tcPr>
            <w:tcW w:w="2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11.5</w:t>
            </w: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0.12</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0.09</w:t>
            </w:r>
          </w:p>
        </w:tc>
        <w:tc>
          <w:tcPr>
            <w:tcW w:w="200" w:type="dxa"/>
            <w:vAlign w:val="bottom"/>
          </w:tcPr>
          <w:p>
            <w:pPr>
              <w:spacing w:after="0"/>
              <w:rPr>
                <w:sz w:val="15"/>
                <w:szCs w:val="15"/>
                <w:color w:val="auto"/>
              </w:rPr>
            </w:pPr>
          </w:p>
        </w:tc>
        <w:tc>
          <w:tcPr>
            <w:tcW w:w="104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w w:val="95"/>
              </w:rPr>
              <w:t>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(57.9)</w:t>
            </w:r>
          </w:p>
        </w:tc>
        <w:tc>
          <w:tcPr>
            <w:tcW w:w="1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8.4</w:t>
            </w:r>
          </w:p>
        </w:tc>
        <w:tc>
          <w:tcPr>
            <w:tcW w:w="20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(66.3)</w:t>
            </w:r>
          </w:p>
        </w:tc>
        <w:tc>
          <w:tcPr>
            <w:tcW w:w="2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(0.16)</w:t>
            </w:r>
          </w:p>
        </w:tc>
        <w:tc>
          <w:tcPr>
            <w:tcW w:w="2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0.03</w:t>
            </w:r>
          </w:p>
        </w:tc>
        <w:tc>
          <w:tcPr>
            <w:tcW w:w="200" w:type="dxa"/>
            <w:vAlign w:val="bottom"/>
          </w:tcPr>
          <w:p>
            <w:pPr>
              <w:spacing w:after="0"/>
              <w:rPr>
                <w:sz w:val="15"/>
                <w:szCs w:val="15"/>
                <w:color w:val="auto"/>
              </w:rPr>
            </w:pPr>
          </w:p>
        </w:tc>
        <w:tc>
          <w:tcPr>
            <w:tcW w:w="1060" w:type="dxa"/>
            <w:vAlign w:val="bottom"/>
            <w:gridSpan w:val="2"/>
          </w:tcPr>
          <w:p>
            <w:pPr>
              <w:jc w:val="center"/>
              <w:ind w:left="720"/>
              <w:spacing w:after="0"/>
              <w:rPr>
                <w:sz w:val="20"/>
                <w:szCs w:val="20"/>
                <w:color w:val="auto"/>
              </w:rPr>
            </w:pPr>
            <w:r>
              <w:rPr>
                <w:rFonts w:ascii="Times New Roman" w:cs="Times New Roman" w:eastAsia="Times New Roman" w:hAnsi="Times New Roman"/>
                <w:sz w:val="12"/>
                <w:szCs w:val="12"/>
                <w:color w:val="auto"/>
                <w:w w:val="96"/>
              </w:rPr>
              <w:t>(0.19)</w:t>
            </w:r>
          </w:p>
        </w:tc>
        <w:tc>
          <w:tcPr>
            <w:tcW w:w="0" w:type="dxa"/>
            <w:vAlign w:val="bottom"/>
          </w:tcPr>
          <w:p>
            <w:pPr>
              <w:spacing w:after="0"/>
              <w:rPr>
                <w:sz w:val="1"/>
                <w:szCs w:val="1"/>
                <w:color w:val="auto"/>
              </w:rPr>
            </w:pPr>
          </w:p>
        </w:tc>
      </w:tr>
      <w:tr>
        <w:trPr>
          <w:trHeight w:val="297"/>
        </w:trPr>
        <w:tc>
          <w:tcPr>
            <w:tcW w:w="16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(524.0)</w:t>
            </w:r>
          </w:p>
        </w:tc>
        <w:tc>
          <w:tcPr>
            <w:tcW w:w="18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(1,953.0)</w:t>
            </w:r>
          </w:p>
        </w:tc>
        <w:tc>
          <w:tcPr>
            <w:tcW w:w="20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1,429.0</w:t>
            </w:r>
          </w:p>
        </w:tc>
        <w:tc>
          <w:tcPr>
            <w:tcW w:w="2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(1.47)</w:t>
            </w:r>
          </w:p>
        </w:tc>
        <w:tc>
          <w:tcPr>
            <w:tcW w:w="20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(5.58)</w:t>
            </w:r>
          </w:p>
        </w:tc>
        <w:tc>
          <w:tcPr>
            <w:tcW w:w="200" w:type="dxa"/>
            <w:vAlign w:val="bottom"/>
          </w:tcPr>
          <w:p>
            <w:pPr>
              <w:spacing w:after="0"/>
              <w:rPr>
                <w:sz w:val="24"/>
                <w:szCs w:val="24"/>
                <w:color w:val="auto"/>
              </w:rPr>
            </w:pPr>
          </w:p>
        </w:tc>
        <w:tc>
          <w:tcPr>
            <w:tcW w:w="104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w w:val="95"/>
              </w:rPr>
              <w:t>4.11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6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(298.3)</w:t>
            </w:r>
          </w:p>
        </w:tc>
        <w:tc>
          <w:tcPr>
            <w:tcW w:w="18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(298.3)</w:t>
            </w:r>
          </w:p>
        </w:tc>
        <w:tc>
          <w:tcPr>
            <w:tcW w:w="2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(0.83)</w:t>
            </w: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1060" w:type="dxa"/>
            <w:vAlign w:val="bottom"/>
            <w:gridSpan w:val="2"/>
          </w:tcPr>
          <w:p>
            <w:pPr>
              <w:jc w:val="center"/>
              <w:ind w:left="720"/>
              <w:spacing w:after="0"/>
              <w:rPr>
                <w:sz w:val="20"/>
                <w:szCs w:val="20"/>
                <w:color w:val="auto"/>
              </w:rPr>
            </w:pPr>
            <w:r>
              <w:rPr>
                <w:rFonts w:ascii="Times New Roman" w:cs="Times New Roman" w:eastAsia="Times New Roman" w:hAnsi="Times New Roman"/>
                <w:sz w:val="12"/>
                <w:szCs w:val="12"/>
                <w:color w:val="auto"/>
                <w:w w:val="96"/>
              </w:rPr>
              <w:t>(0.83)</w:t>
            </w:r>
          </w:p>
        </w:tc>
        <w:tc>
          <w:tcPr>
            <w:tcW w:w="0" w:type="dxa"/>
            <w:vAlign w:val="bottom"/>
          </w:tcPr>
          <w:p>
            <w:pPr>
              <w:spacing w:after="0"/>
              <w:rPr>
                <w:sz w:val="1"/>
                <w:szCs w:val="1"/>
                <w:color w:val="auto"/>
              </w:rPr>
            </w:pPr>
          </w:p>
        </w:tc>
      </w:tr>
      <w:tr>
        <w:trPr>
          <w:trHeight w:val="164"/>
        </w:trPr>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6.9</w:t>
            </w:r>
          </w:p>
        </w:tc>
        <w:tc>
          <w:tcPr>
            <w:tcW w:w="2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(0.02)</w:t>
            </w:r>
          </w:p>
        </w:tc>
        <w:tc>
          <w:tcPr>
            <w:tcW w:w="200" w:type="dxa"/>
            <w:vAlign w:val="bottom"/>
          </w:tcPr>
          <w:p>
            <w:pPr>
              <w:spacing w:after="0"/>
              <w:rPr>
                <w:sz w:val="14"/>
                <w:szCs w:val="14"/>
                <w:color w:val="auto"/>
              </w:rPr>
            </w:pPr>
          </w:p>
        </w:tc>
        <w:tc>
          <w:tcPr>
            <w:tcW w:w="1040" w:type="dxa"/>
            <w:vAlign w:val="bottom"/>
          </w:tcPr>
          <w:p>
            <w:pPr>
              <w:jc w:val="center"/>
              <w:ind w:left="740"/>
              <w:spacing w:after="0"/>
              <w:rPr>
                <w:sz w:val="20"/>
                <w:szCs w:val="20"/>
                <w:color w:val="auto"/>
              </w:rPr>
            </w:pPr>
            <w:r>
              <w:rPr>
                <w:rFonts w:ascii="Times New Roman" w:cs="Times New Roman" w:eastAsia="Times New Roman" w:hAnsi="Times New Roman"/>
                <w:sz w:val="12"/>
                <w:szCs w:val="12"/>
                <w:color w:val="auto"/>
                <w:w w:val="95"/>
              </w:rPr>
              <w:t>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811.7</w:t>
            </w:r>
          </w:p>
        </w:tc>
        <w:tc>
          <w:tcPr>
            <w:tcW w:w="220" w:type="dxa"/>
            <w:vAlign w:val="bottom"/>
            <w:vMerge w:val="continue"/>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(442.2)</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1,253.9</w:t>
            </w:r>
          </w:p>
        </w:tc>
        <w:tc>
          <w:tcPr>
            <w:tcW w:w="24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2.27</w:t>
            </w:r>
          </w:p>
        </w:tc>
        <w:tc>
          <w:tcPr>
            <w:tcW w:w="220" w:type="dxa"/>
            <w:vAlign w:val="bottom"/>
            <w:vMerge w:val="continue"/>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(1.26)</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Pr>
          <w:p>
            <w:pPr>
              <w:jc w:val="center"/>
              <w:ind w:left="740"/>
              <w:spacing w:after="0" w:line="133" w:lineRule="exact"/>
              <w:rPr>
                <w:sz w:val="20"/>
                <w:szCs w:val="20"/>
                <w:color w:val="auto"/>
              </w:rPr>
            </w:pPr>
            <w:r>
              <w:rPr>
                <w:rFonts w:ascii="Times New Roman" w:cs="Times New Roman" w:eastAsia="Times New Roman" w:hAnsi="Times New Roman"/>
                <w:sz w:val="12"/>
                <w:szCs w:val="12"/>
                <w:b w:val="1"/>
                <w:bCs w:val="1"/>
                <w:color w:val="auto"/>
                <w:w w:val="95"/>
              </w:rPr>
              <w:t>3.53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-902335</wp:posOffset>
            </wp:positionV>
            <wp:extent cx="7178040"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-690880</wp:posOffset>
            </wp:positionV>
            <wp:extent cx="717804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-387985</wp:posOffset>
            </wp:positionV>
            <wp:extent cx="717804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8859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-102235</wp:posOffset>
            </wp:positionV>
            <wp:extent cx="7178040" cy="9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-1655445</wp:posOffset>
            </wp:positionH>
            <wp:positionV relativeFrom="paragraph">
              <wp:posOffset>-1102360</wp:posOffset>
            </wp:positionV>
            <wp:extent cx="717804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1888" w:space="720"/>
            <w:col w:w="8700"/>
          </w:cols>
          <w:pgMar w:left="292" w:top="273" w:right="299" w:bottom="1440" w:gutter="0" w:footer="0" w:header="0"/>
          <w:type w:val="continuous"/>
        </w:sectPr>
      </w:pPr>
    </w:p>
    <w:p>
      <w:pPr>
        <w:ind w:left="8" w:right="140" w:firstLine="22"/>
        <w:spacing w:after="0" w:line="279" w:lineRule="auto"/>
        <w:rPr>
          <w:sz w:val="20"/>
          <w:szCs w:val="20"/>
          <w:color w:val="auto"/>
        </w:rPr>
      </w:pPr>
      <w:r>
        <w:rPr>
          <w:rFonts w:ascii="Times New Roman" w:cs="Times New Roman" w:eastAsia="Times New Roman" w:hAnsi="Times New Roman"/>
          <w:sz w:val="12"/>
          <w:szCs w:val="12"/>
          <w:color w:val="auto"/>
        </w:rPr>
        <w:t>Eversource Energy has approximately 367 million common shares outstanding and operates New England’s largest energy delivery system. It serves approximately 4.6 million electric, natural gas and water customers in Connecticut, Massachusetts and New Hampshire.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Rima Hyder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(781) 441-8062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178040" cy="217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17170"/>
                    </a:xfrm>
                    <a:prstGeom prst="rect">
                      <a:avLst/>
                    </a:prstGeom>
                    <a:noFill/>
                  </pic:spPr>
                </pic:pic>
              </a:graphicData>
            </a:graphic>
          </wp:anchor>
        </w:drawing>
      </w:r>
    </w:p>
    <w:p>
      <w:pPr>
        <w:spacing w:after="0" w:line="142" w:lineRule="exact"/>
        <w:rPr>
          <w:sz w:val="20"/>
          <w:szCs w:val="20"/>
          <w:color w:val="auto"/>
        </w:rPr>
      </w:pPr>
    </w:p>
    <w:p>
      <w:pPr>
        <w:ind w:left="8" w:right="1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Note: Eversource Energy will webcast a conference call with senior management on February 12, 2025, beginning at 9 a.m. Eastern Time. The webcast and associated slides can be accessed through Eversource Energy’s website at www.eversource.com or via this link </w:t>
      </w:r>
      <w:r>
        <w:rPr>
          <w:rFonts w:ascii="Times New Roman" w:cs="Times New Roman" w:eastAsia="Times New Roman" w:hAnsi="Times New Roman"/>
          <w:sz w:val="12"/>
          <w:szCs w:val="12"/>
          <w:color w:val="auto"/>
        </w:rPr>
        <w:t>https://edge.media-server.com/mmc/p/myr8izgk/</w:t>
      </w:r>
      <w:r>
        <w:rPr>
          <w:rFonts w:ascii="Times New Roman" w:cs="Times New Roman" w:eastAsia="Times New Roman" w:hAnsi="Times New Roman"/>
          <w:sz w:val="12"/>
          <w:szCs w:val="12"/>
          <w:b w:val="1"/>
          <w:bCs w:val="1"/>
          <w:color w:val="auto"/>
        </w:rPr>
        <w:t>.</w:t>
      </w:r>
    </w:p>
    <w:p>
      <w:pPr>
        <w:spacing w:after="0" w:line="159" w:lineRule="exact"/>
        <w:rPr>
          <w:sz w:val="20"/>
          <w:szCs w:val="20"/>
          <w:color w:val="auto"/>
        </w:rPr>
      </w:pPr>
    </w:p>
    <w:p>
      <w:pPr>
        <w:ind w:left="8" w:right="20" w:hanging="8"/>
        <w:spacing w:after="0" w:line="239" w:lineRule="auto"/>
        <w:tabs>
          <w:tab w:leader="none" w:pos="83" w:val="left"/>
        </w:tabs>
        <w:numPr>
          <w:ilvl w:val="0"/>
          <w:numId w:val="2"/>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2"/>
          <w:szCs w:val="12"/>
          <w:i w:val="1"/>
          <w:iCs w:val="1"/>
          <w:color w:val="auto"/>
        </w:rPr>
        <w:t xml:space="preserve">All per-share amounts in this news release are reported on a diluted basis. The only common equity securities that are publicly traded are common shares of Eversource Energy. The earnings discussion includes financial measures that are not recognized under generally accepted accounting principles (non-GAAP) referencing earnings and EPS </w:t>
      </w:r>
      <w:r>
        <w:rPr>
          <w:rFonts w:ascii="Times New Roman" w:cs="Times New Roman" w:eastAsia="Times New Roman" w:hAnsi="Times New Roman"/>
          <w:sz w:val="12"/>
          <w:szCs w:val="12"/>
          <w:color w:val="auto"/>
        </w:rPr>
        <w:t>excluding losses on the sales and impairments of the offshore wind equity method investments, a loss on the pending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sale of the Aquarion water distribution business, a loss on the disposition of land that was initially acquired to construct the Northern Pass Transmission project and was subsequently abandoned, and certain transaction and transition costs. EPS by business is also a non-GAAP financial measure and is calculated by dividing the net income attributable to common shareholders of each business by the weighted average diluted Eversource Energy common shares outstanding for the period. The earnings and EPS of each business do not represent a direct legal interest in the assets and liabilities of such business, but rather represent a direct interest in Eversource Energy’s assets and liabilities as a whole. Eversource Energy uses these non-GAAP financial measures to evaluate and provide details of earnings results by business and to more fully compare and explain results without including these items. This information is among the primary indicators management uses as a basis for evaluating performance and planning and forecasting of future periods. Management believes the impacts of the losses on the offshore wind equity method investments, the loss on the pending sale of the Aquarion water distribution business, the loss on the disposition of land associated with an abandoned project, and transaction and transition costs are not indicative of Eversource Energy's ongoing costs and performance. Management views these charges as not directly related to the ongoing operations of the business and therefore not an indicator of baseline operating performance. Due to the nature and significance of the effect of these items on net income attributable to common shareholders and EPS, management believes that the non-GAAP presentation is a more meaningful representation of Eversource Energy's financial performance and provides additional and useful information to readers of this report in analyzing historical and future performance of the business. These non-GAAP financial measures should not be considered as alternatives to reported net income attributable to common shareholders or EPS determined in accordance with GAAP as indicators of Eversource Energy's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73" w:right="299" w:bottom="1440" w:gutter="0" w:footer="0" w:header="0"/>
          <w:type w:val="continuous"/>
        </w:sectPr>
      </w:pPr>
    </w:p>
    <w:bookmarkStart w:id="7" w:name="page8"/>
    <w:bookmarkEnd w:id="7"/>
    <w:p>
      <w:pPr>
        <w:ind w:right="20"/>
        <w:spacing w:after="0" w:line="252" w:lineRule="auto"/>
        <w:rPr>
          <w:sz w:val="20"/>
          <w:szCs w:val="20"/>
          <w:color w:val="auto"/>
        </w:rPr>
      </w:pPr>
      <w:r>
        <w:rPr>
          <w:rFonts w:ascii="Times New Roman" w:cs="Times New Roman" w:eastAsia="Times New Roman" w:hAnsi="Times New Roman"/>
          <w:sz w:val="12"/>
          <w:szCs w:val="12"/>
          <w:i w:val="1"/>
          <w:iCs w:val="1"/>
          <w:color w:val="auto"/>
        </w:rPr>
        <w:t>This document includes statements concerning Eversource Energy’s expectations, beliefs, plans, objectives, goals, strategies, assumptions of future events, future financial performance or growth and other statements that are not historical facts. These statements are “forward-looking statements” within the meaning of the U. S. federal securities laws. Generally, readers can identify these forward-looking statements through the use of words or phrases such as “estimate,” “expect,” “pending,” “anticipate,” “intend,” “plan,” “project,” “believe,” “forecast,” “would,” “should,” “could” and other similar expressions. Forward-looking statements involve risks and uncertainties that may cause actual results or outcomes to differ materially from those included in the forward-looking statements. Forward-looking statements are based on the current expectations, estimates, assumptions or projections of management and are not guarantees of future performance. These expectations, estimates, assumptions or projections may vary materially from actual results.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cyberattacks or breaches, including those resulting in the compromise of the confidentiality of our proprietary information and the personal information of our customers; the ability to qualify for investment tax credits and investment tax credit adders; variability in the costs and final investment returns of the Revolution Wind and South Fork Wind offshore wind projects as it relates to the purchase price post-closing adjustment under the terms of the sale agreement for these projects; disruptions in the capital markets or other events that make our access to necessary capital more difficult or costly; changes in economic conditions, including impact on interest rates, tax policies, and customer demand and payment ability; ability or inability to commence and complete our major strategic development projects and opportunities; acts of war or terrorism, physical attacks or grid disturbances that may damage and disrupt our electric transmission and electric, natural gas, and water distribution systems; actions or inaction of local, state and federal regulatory, public policy and taxing bodies; substandard performance of third-party suppliers and service providers; fluctuations in weather patterns, including extreme weather due to climate change; changes in business conditions, which could include disruptive technology or development of alternative energy sources related to our current or future business model; contamination of, or disruption in, our water supplies; changes in levels or timing of capital expenditures; changes in laws, regulations, Presidential executive orders or regulatory policy, including compliance with environmental laws and regulations; changes in accounting standards and financial reporting regulations; actions of rating agencies; and other presently unknown or unforeseen factors.</w:t>
      </w:r>
    </w:p>
    <w:p>
      <w:pPr>
        <w:spacing w:after="0" w:line="13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2"/>
          <w:szCs w:val="12"/>
          <w:i w:val="1"/>
          <w:iCs w:val="1"/>
          <w:color w:val="auto"/>
        </w:rPr>
        <w:t>Other risk factors are detailed in Eversource Energy’s reports filed with the Securities and Exchange Commission (SEC). They are updated as necessary and available on Eversource Energy’s website at www.eversource.com and on the SEC’s website at www.sec.gov and management encourages you to consult such disclosures.</w:t>
      </w:r>
    </w:p>
    <w:p>
      <w:pPr>
        <w:spacing w:after="0" w:line="1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2"/>
          <w:szCs w:val="12"/>
          <w:i w:val="1"/>
          <w:iCs w:val="1"/>
          <w:color w:val="auto"/>
        </w:rPr>
        <w:t>All such factors are difficult to predict and contain uncertainties that may materially affect Eversource Energy’s actual results, many of which are beyond our control. You should not place undue reliance on the forward-looking statements, as each speaks only as of the date on which such statement is made, and, except as required by federal securities laws, Eversource Energy undertakes no obligation to update any forward-looking statement or statements to reflect events or circumstances after the date on which such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27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EVERSOURCE ENERGY AND SUBSIDIARIES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CONSOLIDATED STATEMENTS OF INCOME/(LOSS)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340" w:type="dxa"/>
            <w:vAlign w:val="bottom"/>
            <w:gridSpan w:val="6"/>
          </w:tcPr>
          <w:p>
            <w:pPr>
              <w:jc w:val="right"/>
              <w:ind w:right="880"/>
              <w:spacing w:after="0"/>
              <w:rPr>
                <w:sz w:val="20"/>
                <w:szCs w:val="20"/>
                <w:color w:val="auto"/>
              </w:rPr>
            </w:pPr>
            <w:r>
              <w:rPr>
                <w:rFonts w:ascii="Times New Roman" w:cs="Times New Roman" w:eastAsia="Times New Roman" w:hAnsi="Times New Roman"/>
                <w:sz w:val="12"/>
                <w:szCs w:val="12"/>
                <w:color w:val="auto"/>
              </w:rPr>
              <w:t>For the Three Months Ended December 31,</w:t>
            </w:r>
          </w:p>
        </w:tc>
      </w:tr>
      <w:tr>
        <w:trPr>
          <w:trHeight w:val="142"/>
        </w:trPr>
        <w:tc>
          <w:tcPr>
            <w:tcW w:w="7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of Dollars, Except Share Information)</w:t>
            </w:r>
          </w:p>
        </w:tc>
        <w:tc>
          <w:tcPr>
            <w:tcW w:w="4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color w:val="auto"/>
              </w:rPr>
              <w:t>2024</w:t>
            </w: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2,971,488</w:t>
            </w: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2,694,238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33"/>
        </w:trPr>
        <w:tc>
          <w:tcPr>
            <w:tcW w:w="7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Purchased Power, Purchased Natural Gas and Transmission</w:t>
            </w:r>
          </w:p>
        </w:tc>
        <w:tc>
          <w:tcPr>
            <w:tcW w:w="40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740,832</w:t>
            </w:r>
          </w:p>
        </w:tc>
        <w:tc>
          <w:tcPr>
            <w:tcW w:w="40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935,329</w:t>
            </w:r>
          </w:p>
        </w:tc>
        <w:tc>
          <w:tcPr>
            <w:tcW w:w="100" w:type="dxa"/>
            <w:vAlign w:val="bottom"/>
          </w:tcPr>
          <w:p>
            <w:pPr>
              <w:spacing w:after="0"/>
              <w:rPr>
                <w:sz w:val="12"/>
                <w:szCs w:val="12"/>
                <w:color w:val="auto"/>
              </w:rPr>
            </w:pPr>
          </w:p>
        </w:tc>
      </w:tr>
      <w:tr>
        <w:trPr>
          <w:trHeight w:val="144"/>
        </w:trPr>
        <w:tc>
          <w:tcPr>
            <w:tcW w:w="7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575,100</w:t>
            </w: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513,141</w:t>
            </w:r>
          </w:p>
        </w:tc>
        <w:tc>
          <w:tcPr>
            <w:tcW w:w="100" w:type="dxa"/>
            <w:vAlign w:val="bottom"/>
            <w:shd w:val="clear" w:color="auto" w:fill="CCEEFF"/>
          </w:tcPr>
          <w:p>
            <w:pPr>
              <w:spacing w:after="0"/>
              <w:rPr>
                <w:sz w:val="12"/>
                <w:szCs w:val="12"/>
                <w:color w:val="auto"/>
              </w:rPr>
            </w:pPr>
          </w:p>
        </w:tc>
      </w:tr>
      <w:tr>
        <w:trPr>
          <w:trHeight w:val="144"/>
        </w:trPr>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Depreciation</w:t>
            </w:r>
          </w:p>
        </w:tc>
        <w:tc>
          <w:tcPr>
            <w:tcW w:w="40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372,853</w:t>
            </w:r>
          </w:p>
        </w:tc>
        <w:tc>
          <w:tcPr>
            <w:tcW w:w="40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343,363</w:t>
            </w:r>
          </w:p>
        </w:tc>
        <w:tc>
          <w:tcPr>
            <w:tcW w:w="100" w:type="dxa"/>
            <w:vAlign w:val="bottom"/>
          </w:tcPr>
          <w:p>
            <w:pPr>
              <w:spacing w:after="0"/>
              <w:rPr>
                <w:sz w:val="12"/>
                <w:szCs w:val="12"/>
                <w:color w:val="auto"/>
              </w:rPr>
            </w:pPr>
          </w:p>
        </w:tc>
      </w:tr>
      <w:tr>
        <w:trPr>
          <w:trHeight w:val="144"/>
        </w:trPr>
        <w:tc>
          <w:tcPr>
            <w:tcW w:w="7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Amortization</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215,369</w:t>
            </w:r>
          </w:p>
        </w:tc>
        <w:tc>
          <w:tcPr>
            <w:tcW w:w="40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(51,657)</w:t>
            </w:r>
          </w:p>
        </w:tc>
      </w:tr>
      <w:tr>
        <w:trPr>
          <w:trHeight w:val="144"/>
        </w:trPr>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Energy Efficiency Programs</w:t>
            </w:r>
          </w:p>
        </w:tc>
        <w:tc>
          <w:tcPr>
            <w:tcW w:w="40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165,007</w:t>
            </w:r>
          </w:p>
        </w:tc>
        <w:tc>
          <w:tcPr>
            <w:tcW w:w="40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160,145</w:t>
            </w:r>
          </w:p>
        </w:tc>
        <w:tc>
          <w:tcPr>
            <w:tcW w:w="100" w:type="dxa"/>
            <w:vAlign w:val="bottom"/>
          </w:tcPr>
          <w:p>
            <w:pPr>
              <w:spacing w:after="0"/>
              <w:rPr>
                <w:sz w:val="12"/>
                <w:szCs w:val="12"/>
                <w:color w:val="auto"/>
              </w:rPr>
            </w:pPr>
          </w:p>
        </w:tc>
      </w:tr>
      <w:tr>
        <w:trPr>
          <w:trHeight w:val="144"/>
        </w:trPr>
        <w:tc>
          <w:tcPr>
            <w:tcW w:w="7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Taxes Other Than Income Taxes</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257,488</w:t>
            </w: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235,370</w:t>
            </w:r>
          </w:p>
        </w:tc>
        <w:tc>
          <w:tcPr>
            <w:tcW w:w="100" w:type="dxa"/>
            <w:vAlign w:val="bottom"/>
            <w:shd w:val="clear" w:color="auto" w:fill="CCEEFF"/>
          </w:tcPr>
          <w:p>
            <w:pPr>
              <w:spacing w:after="0"/>
              <w:rPr>
                <w:sz w:val="12"/>
                <w:szCs w:val="12"/>
                <w:color w:val="auto"/>
              </w:rPr>
            </w:pPr>
          </w:p>
        </w:tc>
      </w:tr>
      <w:tr>
        <w:trPr>
          <w:trHeight w:val="153"/>
        </w:trPr>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Loss on Pending Sale of Aquarion</w:t>
            </w:r>
          </w:p>
        </w:tc>
        <w:tc>
          <w:tcPr>
            <w:tcW w:w="40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297,000</w:t>
            </w:r>
          </w:p>
        </w:tc>
        <w:tc>
          <w:tcPr>
            <w:tcW w:w="400" w:type="dxa"/>
            <w:vAlign w:val="bottom"/>
          </w:tcPr>
          <w:p>
            <w:pPr>
              <w:spacing w:after="0"/>
              <w:rPr>
                <w:sz w:val="13"/>
                <w:szCs w:val="13"/>
                <w:color w:val="auto"/>
              </w:rPr>
            </w:pP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560" w:type="dxa"/>
            <w:vAlign w:val="bottom"/>
            <w:tcBorders>
              <w:top w:val="single" w:sz="8" w:color="CCEEFF"/>
            </w:tcBorders>
            <w:gridSpan w:val="2"/>
            <w:shd w:val="clear" w:color="auto" w:fill="CCEEFF"/>
          </w:tcPr>
          <w:p>
            <w:pPr>
              <w:ind w:left="3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1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2,623,649</w:t>
            </w:r>
          </w:p>
        </w:tc>
        <w:tc>
          <w:tcPr>
            <w:tcW w:w="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spacing w:after="0"/>
              <w:rPr>
                <w:sz w:val="11"/>
                <w:szCs w:val="11"/>
                <w:color w:val="auto"/>
              </w:rPr>
            </w:pPr>
          </w:p>
        </w:tc>
        <w:tc>
          <w:tcPr>
            <w:tcW w:w="1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2,135,691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75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400" w:type="dxa"/>
            <w:vAlign w:val="bottom"/>
          </w:tcPr>
          <w:p>
            <w:pPr>
              <w:spacing w:after="0"/>
              <w:rPr>
                <w:sz w:val="11"/>
                <w:szCs w:val="11"/>
                <w:color w:val="auto"/>
              </w:rPr>
            </w:pPr>
          </w:p>
        </w:tc>
        <w:tc>
          <w:tcPr>
            <w:tcW w:w="13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347,839</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558,547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288,696</w:t>
            </w:r>
          </w:p>
        </w:tc>
        <w:tc>
          <w:tcPr>
            <w:tcW w:w="4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231,300</w:t>
            </w:r>
          </w:p>
        </w:tc>
        <w:tc>
          <w:tcPr>
            <w:tcW w:w="100" w:type="dxa"/>
            <w:vAlign w:val="bottom"/>
            <w:shd w:val="clear" w:color="auto" w:fill="CCEEFF"/>
          </w:tcPr>
          <w:p>
            <w:pPr>
              <w:spacing w:after="0"/>
              <w:rPr>
                <w:sz w:val="12"/>
                <w:szCs w:val="12"/>
                <w:color w:val="auto"/>
              </w:rPr>
            </w:pPr>
          </w:p>
        </w:tc>
      </w:tr>
      <w:tr>
        <w:trPr>
          <w:trHeight w:val="144"/>
        </w:trPr>
        <w:tc>
          <w:tcPr>
            <w:tcW w:w="7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Losses on Offshore Wind Investments</w:t>
            </w:r>
          </w:p>
        </w:tc>
        <w:tc>
          <w:tcPr>
            <w:tcW w:w="40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1,766,000</w:t>
            </w:r>
          </w:p>
        </w:tc>
        <w:tc>
          <w:tcPr>
            <w:tcW w:w="100" w:type="dxa"/>
            <w:vAlign w:val="bottom"/>
          </w:tcPr>
          <w:p>
            <w:pPr>
              <w:spacing w:after="0"/>
              <w:rPr>
                <w:sz w:val="12"/>
                <w:szCs w:val="12"/>
                <w:color w:val="auto"/>
              </w:rPr>
            </w:pPr>
          </w:p>
        </w:tc>
      </w:tr>
      <w:tr>
        <w:trPr>
          <w:trHeight w:val="153"/>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4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91,612</w:t>
            </w:r>
          </w:p>
        </w:tc>
        <w:tc>
          <w:tcPr>
            <w:tcW w:w="4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85,090</w:t>
            </w:r>
          </w:p>
        </w:tc>
      </w:tr>
      <w:tr>
        <w:trPr>
          <w:trHeight w:val="133"/>
        </w:trPr>
        <w:tc>
          <w:tcPr>
            <w:tcW w:w="75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Income/(Loss) Before Income Tax Expense</w:t>
            </w:r>
          </w:p>
        </w:tc>
        <w:tc>
          <w:tcPr>
            <w:tcW w:w="4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150,755</w:t>
            </w: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(1,353,663)</w:t>
            </w:r>
          </w:p>
        </w:tc>
        <w:tc>
          <w:tcPr>
            <w:tcW w:w="120" w:type="dxa"/>
            <w:vAlign w:val="bottom"/>
            <w:gridSpan w:val="2"/>
          </w:tcPr>
          <w:p>
            <w:pPr>
              <w:spacing w:after="0"/>
              <w:rPr>
                <w:sz w:val="11"/>
                <w:szCs w:val="11"/>
                <w:color w:val="auto"/>
              </w:rPr>
            </w:pPr>
          </w:p>
        </w:tc>
      </w:tr>
      <w:tr>
        <w:trPr>
          <w:trHeight w:val="153"/>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Expense/(Benefit)</w:t>
            </w:r>
          </w:p>
        </w:tc>
        <w:tc>
          <w:tcPr>
            <w:tcW w:w="4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76,355</w:t>
            </w:r>
          </w:p>
        </w:tc>
        <w:tc>
          <w:tcPr>
            <w:tcW w:w="4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(67,058)</w:t>
            </w:r>
          </w:p>
        </w:tc>
      </w:tr>
      <w:tr>
        <w:trPr>
          <w:trHeight w:val="133"/>
        </w:trPr>
        <w:tc>
          <w:tcPr>
            <w:tcW w:w="75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Income/(Loss)</w:t>
            </w:r>
          </w:p>
        </w:tc>
        <w:tc>
          <w:tcPr>
            <w:tcW w:w="4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74,400</w:t>
            </w: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(1,286,605)</w:t>
            </w:r>
          </w:p>
        </w:tc>
        <w:tc>
          <w:tcPr>
            <w:tcW w:w="120" w:type="dxa"/>
            <w:vAlign w:val="bottom"/>
            <w:gridSpan w:val="2"/>
          </w:tcPr>
          <w:p>
            <w:pPr>
              <w:spacing w:after="0"/>
              <w:rPr>
                <w:sz w:val="11"/>
                <w:szCs w:val="11"/>
                <w:color w:val="auto"/>
              </w:rPr>
            </w:pPr>
          </w:p>
        </w:tc>
      </w:tr>
      <w:tr>
        <w:trPr>
          <w:trHeight w:val="153"/>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40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1,880</w:t>
            </w:r>
          </w:p>
        </w:tc>
        <w:tc>
          <w:tcPr>
            <w:tcW w:w="4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1,880</w:t>
            </w:r>
          </w:p>
        </w:tc>
        <w:tc>
          <w:tcPr>
            <w:tcW w:w="100" w:type="dxa"/>
            <w:vAlign w:val="bottom"/>
            <w:shd w:val="clear" w:color="auto" w:fill="CCEEFF"/>
          </w:tcPr>
          <w:p>
            <w:pPr>
              <w:spacing w:after="0"/>
              <w:rPr>
                <w:sz w:val="13"/>
                <w:szCs w:val="13"/>
                <w:color w:val="auto"/>
              </w:rPr>
            </w:pPr>
          </w:p>
        </w:tc>
      </w:tr>
      <w:tr>
        <w:trPr>
          <w:trHeight w:val="149"/>
        </w:trPr>
        <w:tc>
          <w:tcPr>
            <w:tcW w:w="756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Net Income/(Loss) Attributable to Common Shareholders</w:t>
            </w:r>
          </w:p>
        </w:tc>
        <w:tc>
          <w:tcPr>
            <w:tcW w:w="40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72,520</w:t>
            </w:r>
          </w:p>
        </w:tc>
        <w:tc>
          <w:tcPr>
            <w:tcW w:w="2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(1,288,485</w:t>
            </w:r>
          </w:p>
        </w:tc>
        <w:tc>
          <w:tcPr>
            <w:tcW w:w="12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7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7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and Diluted Earnings/(Loss) Per Common Share</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0.20</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(3.68)</w:t>
            </w:r>
          </w:p>
        </w:tc>
      </w:tr>
      <w:tr>
        <w:trPr>
          <w:trHeight w:val="144"/>
        </w:trPr>
        <w:tc>
          <w:tcPr>
            <w:tcW w:w="7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4"/>
        </w:trPr>
        <w:tc>
          <w:tcPr>
            <w:tcW w:w="7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7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Basic</w:t>
            </w:r>
          </w:p>
        </w:tc>
        <w:tc>
          <w:tcPr>
            <w:tcW w:w="4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366,481,846</w:t>
            </w:r>
          </w:p>
        </w:tc>
        <w:tc>
          <w:tcPr>
            <w:tcW w:w="4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349,938,891</w:t>
            </w:r>
          </w:p>
        </w:tc>
        <w:tc>
          <w:tcPr>
            <w:tcW w:w="100" w:type="dxa"/>
            <w:vAlign w:val="bottom"/>
            <w:shd w:val="clear" w:color="auto" w:fill="CCEEFF"/>
          </w:tcPr>
          <w:p>
            <w:pPr>
              <w:spacing w:after="0"/>
              <w:rPr>
                <w:sz w:val="15"/>
                <w:szCs w:val="15"/>
                <w:color w:val="auto"/>
              </w:rPr>
            </w:pPr>
          </w:p>
        </w:tc>
      </w:tr>
      <w:tr>
        <w:trPr>
          <w:trHeight w:val="138"/>
        </w:trPr>
        <w:tc>
          <w:tcPr>
            <w:tcW w:w="7560" w:type="dxa"/>
            <w:vAlign w:val="bottom"/>
            <w:tcBorders>
              <w:top w:val="single" w:sz="8" w:color="CCEEFF"/>
            </w:tcBorders>
            <w:gridSpan w:val="2"/>
          </w:tcPr>
          <w:p>
            <w:pPr>
              <w:ind w:left="200"/>
              <w:spacing w:after="0" w:line="131" w:lineRule="exact"/>
              <w:rPr>
                <w:sz w:val="20"/>
                <w:szCs w:val="20"/>
                <w:color w:val="auto"/>
              </w:rPr>
            </w:pPr>
            <w:r>
              <w:rPr>
                <w:rFonts w:ascii="Times New Roman" w:cs="Times New Roman" w:eastAsia="Times New Roman" w:hAnsi="Times New Roman"/>
                <w:sz w:val="12"/>
                <w:szCs w:val="12"/>
                <w:color w:val="auto"/>
              </w:rPr>
              <w:t>Diluted</w:t>
            </w:r>
          </w:p>
        </w:tc>
        <w:tc>
          <w:tcPr>
            <w:tcW w:w="40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366,883,093</w:t>
            </w:r>
          </w:p>
        </w:tc>
        <w:tc>
          <w:tcPr>
            <w:tcW w:w="220" w:type="dxa"/>
            <w:vAlign w:val="bottom"/>
            <w:tcBorders>
              <w:top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350,167,959</w:t>
            </w:r>
          </w:p>
        </w:tc>
        <w:tc>
          <w:tcPr>
            <w:tcW w:w="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bl>
    <w:p>
      <w:pPr>
        <w:spacing w:after="0" w:line="133"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color w:val="auto"/>
        </w:rPr>
        <w:t>EVERSOURCE ENERGY AND SUBSIDIARIES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CONSOLIDATED STATEMENTS OF INCOME/(LOSS)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2"/>
                <w:szCs w:val="12"/>
                <w:color w:val="auto"/>
              </w:rPr>
              <w:t>For the Years Ended 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(Thousands of Dollars, Except Share Information)</w:t>
            </w:r>
          </w:p>
        </w:tc>
        <w:tc>
          <w:tcPr>
            <w:tcW w:w="280" w:type="dxa"/>
            <w:vAlign w:val="bottom"/>
          </w:tcPr>
          <w:p>
            <w:pPr>
              <w:spacing w:after="0"/>
              <w:rPr>
                <w:sz w:val="12"/>
                <w:szCs w:val="12"/>
                <w:color w:val="auto"/>
              </w:rPr>
            </w:pPr>
          </w:p>
        </w:tc>
        <w:tc>
          <w:tcPr>
            <w:tcW w:w="9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2024</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2023</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2022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Revenues</w:t>
            </w: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11,900,809</w:t>
            </w: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11,910,705</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12,289,336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33"/>
        </w:trPr>
        <w:tc>
          <w:tcPr>
            <w:tcW w:w="6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Purchased Power, Purchased Natural Gas and Transmission</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3,736,078</w:t>
            </w:r>
          </w:p>
        </w:tc>
        <w:tc>
          <w:tcPr>
            <w:tcW w:w="280" w:type="dxa"/>
            <w:vAlign w:val="bottom"/>
          </w:tcPr>
          <w:p>
            <w:pPr>
              <w:spacing w:after="0"/>
              <w:rPr>
                <w:sz w:val="12"/>
                <w:szCs w:val="12"/>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5,168,241</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5,014,074</w:t>
            </w:r>
          </w:p>
        </w:tc>
        <w:tc>
          <w:tcPr>
            <w:tcW w:w="100" w:type="dxa"/>
            <w:vAlign w:val="bottom"/>
          </w:tcPr>
          <w:p>
            <w:pPr>
              <w:spacing w:after="0"/>
              <w:rPr>
                <w:sz w:val="12"/>
                <w:szCs w:val="12"/>
                <w:color w:val="auto"/>
              </w:rPr>
            </w:pPr>
          </w:p>
        </w:tc>
      </w:tr>
      <w:tr>
        <w:trPr>
          <w:trHeight w:val="144"/>
        </w:trPr>
        <w:tc>
          <w:tcPr>
            <w:tcW w:w="7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Operations and Maintenance</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2,012,926</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1,895,703</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1,865,328</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Depreciation</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1,433,503</w:t>
            </w:r>
          </w:p>
        </w:tc>
        <w:tc>
          <w:tcPr>
            <w:tcW w:w="280" w:type="dxa"/>
            <w:vAlign w:val="bottom"/>
          </w:tcPr>
          <w:p>
            <w:pPr>
              <w:spacing w:after="0"/>
              <w:rPr>
                <w:sz w:val="12"/>
                <w:szCs w:val="12"/>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1,305,840</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1,194,246</w:t>
            </w:r>
          </w:p>
        </w:tc>
        <w:tc>
          <w:tcPr>
            <w:tcW w:w="100" w:type="dxa"/>
            <w:vAlign w:val="bottom"/>
          </w:tcPr>
          <w:p>
            <w:pPr>
              <w:spacing w:after="0"/>
              <w:rPr>
                <w:sz w:val="12"/>
                <w:szCs w:val="12"/>
                <w:color w:val="auto"/>
              </w:rPr>
            </w:pPr>
          </w:p>
        </w:tc>
      </w:tr>
      <w:tr>
        <w:trPr>
          <w:trHeight w:val="144"/>
        </w:trPr>
        <w:tc>
          <w:tcPr>
            <w:tcW w:w="7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Amortization</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342,864</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(490,117)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448,892</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Energy Efficiency Programs</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671,828</w:t>
            </w:r>
          </w:p>
        </w:tc>
        <w:tc>
          <w:tcPr>
            <w:tcW w:w="280" w:type="dxa"/>
            <w:vAlign w:val="bottom"/>
          </w:tcPr>
          <w:p>
            <w:pPr>
              <w:spacing w:after="0"/>
              <w:rPr>
                <w:sz w:val="12"/>
                <w:szCs w:val="12"/>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691,344</w:t>
            </w:r>
          </w:p>
        </w:tc>
        <w:tc>
          <w:tcPr>
            <w:tcW w:w="28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658,051</w:t>
            </w:r>
          </w:p>
        </w:tc>
        <w:tc>
          <w:tcPr>
            <w:tcW w:w="100" w:type="dxa"/>
            <w:vAlign w:val="bottom"/>
          </w:tcPr>
          <w:p>
            <w:pPr>
              <w:spacing w:after="0"/>
              <w:rPr>
                <w:sz w:val="12"/>
                <w:szCs w:val="12"/>
                <w:color w:val="auto"/>
              </w:rPr>
            </w:pPr>
          </w:p>
        </w:tc>
      </w:tr>
      <w:tr>
        <w:trPr>
          <w:trHeight w:val="144"/>
        </w:trPr>
        <w:tc>
          <w:tcPr>
            <w:tcW w:w="7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Taxes Other Than Income Taxes</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997,901</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940,359</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910,591</w:t>
            </w:r>
          </w:p>
        </w:tc>
        <w:tc>
          <w:tcPr>
            <w:tcW w:w="100" w:type="dxa"/>
            <w:vAlign w:val="bottom"/>
            <w:shd w:val="clear" w:color="auto" w:fill="CCEEFF"/>
          </w:tcPr>
          <w:p>
            <w:pPr>
              <w:spacing w:after="0"/>
              <w:rPr>
                <w:sz w:val="12"/>
                <w:szCs w:val="12"/>
                <w:color w:val="auto"/>
              </w:rPr>
            </w:pPr>
          </w:p>
        </w:tc>
      </w:tr>
      <w:tr>
        <w:trPr>
          <w:trHeight w:val="153"/>
        </w:trPr>
        <w:tc>
          <w:tcPr>
            <w:tcW w:w="70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Loss on Pending Sale of Aquarion</w:t>
            </w:r>
          </w:p>
        </w:tc>
        <w:tc>
          <w:tcPr>
            <w:tcW w:w="2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297,000</w:t>
            </w:r>
          </w:p>
        </w:tc>
        <w:tc>
          <w:tcPr>
            <w:tcW w:w="280" w:type="dxa"/>
            <w:vAlign w:val="bottom"/>
          </w:tcPr>
          <w:p>
            <w:pPr>
              <w:spacing w:after="0"/>
              <w:rPr>
                <w:sz w:val="13"/>
                <w:szCs w:val="13"/>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3"/>
                <w:szCs w:val="13"/>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020" w:type="dxa"/>
            <w:vAlign w:val="bottom"/>
            <w:tcBorders>
              <w:top w:val="single" w:sz="8" w:color="CCEEFF"/>
            </w:tcBorders>
            <w:gridSpan w:val="2"/>
            <w:shd w:val="clear" w:color="auto" w:fill="CCEEFF"/>
          </w:tcPr>
          <w:p>
            <w:pPr>
              <w:ind w:left="320"/>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9,492,100</w:t>
            </w:r>
          </w:p>
        </w:tc>
        <w:tc>
          <w:tcPr>
            <w:tcW w:w="2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9,511,370</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10,091,182</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70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Income</w:t>
            </w: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2,408,709</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2,399,335</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2,198,154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1,111,336</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855,441</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678,274</w:t>
            </w:r>
          </w:p>
        </w:tc>
        <w:tc>
          <w:tcPr>
            <w:tcW w:w="100" w:type="dxa"/>
            <w:vAlign w:val="bottom"/>
            <w:shd w:val="clear" w:color="auto" w:fill="CCEEFF"/>
          </w:tcPr>
          <w:p>
            <w:pPr>
              <w:spacing w:after="0"/>
              <w:rPr>
                <w:sz w:val="12"/>
                <w:szCs w:val="12"/>
                <w:color w:val="auto"/>
              </w:rPr>
            </w:pPr>
          </w:p>
        </w:tc>
      </w:tr>
      <w:tr>
        <w:trPr>
          <w:trHeight w:val="144"/>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Losses on Offshore Wind Investments</w:t>
            </w:r>
          </w:p>
        </w:tc>
        <w:tc>
          <w:tcPr>
            <w:tcW w:w="2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464,019</w:t>
            </w:r>
          </w:p>
        </w:tc>
        <w:tc>
          <w:tcPr>
            <w:tcW w:w="280" w:type="dxa"/>
            <w:vAlign w:val="bottom"/>
          </w:tcPr>
          <w:p>
            <w:pPr>
              <w:spacing w:after="0"/>
              <w:rPr>
                <w:sz w:val="12"/>
                <w:szCs w:val="12"/>
                <w:color w:val="auto"/>
              </w:rPr>
            </w:pPr>
          </w:p>
        </w:tc>
        <w:tc>
          <w:tcPr>
            <w:tcW w:w="118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2,167,000</w:t>
            </w:r>
          </w:p>
        </w:tc>
        <w:tc>
          <w:tcPr>
            <w:tcW w:w="280" w:type="dxa"/>
            <w:vAlign w:val="bottom"/>
          </w:tcPr>
          <w:p>
            <w:pPr>
              <w:spacing w:after="0"/>
              <w:rPr>
                <w:sz w:val="12"/>
                <w:szCs w:val="12"/>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410,482</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348,069</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346,088</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Income/(Loss) Before Income Tax Expense</w:t>
            </w: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1,243,836</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(275,037)</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1,865,968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424,664</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159,684</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453,574</w:t>
            </w:r>
          </w:p>
        </w:tc>
        <w:tc>
          <w:tcPr>
            <w:tcW w:w="100" w:type="dxa"/>
            <w:vAlign w:val="bottom"/>
            <w:shd w:val="clear" w:color="auto" w:fill="CCEEFF"/>
          </w:tcPr>
          <w:p>
            <w:pPr>
              <w:spacing w:after="0"/>
              <w:rPr>
                <w:sz w:val="13"/>
                <w:szCs w:val="13"/>
                <w:color w:val="auto"/>
              </w:rPr>
            </w:pPr>
          </w:p>
        </w:tc>
      </w:tr>
      <w:tr>
        <w:trPr>
          <w:trHeight w:val="133"/>
        </w:trPr>
        <w:tc>
          <w:tcPr>
            <w:tcW w:w="70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Income/(Loss)</w:t>
            </w: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819,172</w:t>
            </w:r>
          </w:p>
        </w:tc>
        <w:tc>
          <w:tcPr>
            <w:tcW w:w="2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(434,721)</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1,412,394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Attributable to Noncontrolling Interests</w:t>
            </w:r>
          </w:p>
        </w:tc>
        <w:tc>
          <w:tcPr>
            <w:tcW w:w="2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7,519</w:t>
            </w:r>
          </w:p>
        </w:tc>
        <w:tc>
          <w:tcPr>
            <w:tcW w:w="28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7,519</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7,519</w:t>
            </w:r>
          </w:p>
        </w:tc>
        <w:tc>
          <w:tcPr>
            <w:tcW w:w="100" w:type="dxa"/>
            <w:vAlign w:val="bottom"/>
            <w:shd w:val="clear" w:color="auto" w:fill="CCEEFF"/>
          </w:tcPr>
          <w:p>
            <w:pPr>
              <w:spacing w:after="0"/>
              <w:rPr>
                <w:sz w:val="13"/>
                <w:szCs w:val="13"/>
                <w:color w:val="auto"/>
              </w:rPr>
            </w:pPr>
          </w:p>
        </w:tc>
      </w:tr>
      <w:tr>
        <w:trPr>
          <w:trHeight w:val="149"/>
        </w:trPr>
        <w:tc>
          <w:tcPr>
            <w:tcW w:w="7020" w:type="dxa"/>
            <w:vAlign w:val="bottom"/>
            <w:tcBorders>
              <w:bottom w:val="single" w:sz="8" w:color="CCEEFF"/>
            </w:tcBorders>
            <w:gridSpan w:val="2"/>
          </w:tcPr>
          <w:p>
            <w:pPr>
              <w:spacing w:after="0" w:line="135" w:lineRule="exact"/>
              <w:rPr>
                <w:sz w:val="20"/>
                <w:szCs w:val="20"/>
                <w:color w:val="auto"/>
              </w:rPr>
            </w:pPr>
            <w:r>
              <w:rPr>
                <w:rFonts w:ascii="Times New Roman" w:cs="Times New Roman" w:eastAsia="Times New Roman" w:hAnsi="Times New Roman"/>
                <w:sz w:val="12"/>
                <w:szCs w:val="12"/>
                <w:color w:val="auto"/>
              </w:rPr>
              <w:t>Net Income/(Loss) Attributable to Common Shareholders</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811,653</w:t>
            </w: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(442,240</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1,404,875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44"/>
        </w:trPr>
        <w:tc>
          <w:tcPr>
            <w:tcW w:w="6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9"/>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 Earnings/(Loss) Per Common Share</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2.27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(1.27)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4.05</w:t>
            </w:r>
          </w:p>
        </w:tc>
      </w:tr>
      <w:tr>
        <w:trPr>
          <w:trHeight w:val="144"/>
        </w:trPr>
        <w:tc>
          <w:tcPr>
            <w:tcW w:w="6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9"/>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Diluted Earnings/(Loss) Per Common Share</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2.27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(1.26)</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4.05</w:t>
            </w:r>
          </w:p>
        </w:tc>
      </w:tr>
      <w:tr>
        <w:trPr>
          <w:trHeight w:val="144"/>
        </w:trPr>
        <w:tc>
          <w:tcPr>
            <w:tcW w:w="69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4"/>
        </w:trPr>
        <w:tc>
          <w:tcPr>
            <w:tcW w:w="7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2"/>
        </w:trPr>
        <w:tc>
          <w:tcPr>
            <w:tcW w:w="7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Basic</w:t>
            </w:r>
          </w:p>
        </w:tc>
        <w:tc>
          <w:tcPr>
            <w:tcW w:w="2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357,482,965</w:t>
            </w:r>
          </w:p>
        </w:tc>
        <w:tc>
          <w:tcPr>
            <w:tcW w:w="2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349,580,638</w:t>
            </w:r>
          </w:p>
        </w:tc>
        <w:tc>
          <w:tcPr>
            <w:tcW w:w="2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346,783,444</w:t>
            </w:r>
          </w:p>
        </w:tc>
        <w:tc>
          <w:tcPr>
            <w:tcW w:w="100" w:type="dxa"/>
            <w:vAlign w:val="bottom"/>
            <w:shd w:val="clear" w:color="auto" w:fill="CCEEFF"/>
          </w:tcPr>
          <w:p>
            <w:pPr>
              <w:spacing w:after="0"/>
              <w:rPr>
                <w:sz w:val="15"/>
                <w:szCs w:val="15"/>
                <w:color w:val="auto"/>
              </w:rPr>
            </w:pPr>
          </w:p>
        </w:tc>
      </w:tr>
      <w:tr>
        <w:trPr>
          <w:trHeight w:val="138"/>
        </w:trPr>
        <w:tc>
          <w:tcPr>
            <w:tcW w:w="7020" w:type="dxa"/>
            <w:vAlign w:val="bottom"/>
            <w:tcBorders>
              <w:top w:val="single" w:sz="8" w:color="CCEEFF"/>
            </w:tcBorders>
            <w:gridSpan w:val="2"/>
          </w:tcPr>
          <w:p>
            <w:pPr>
              <w:ind w:left="200"/>
              <w:spacing w:after="0" w:line="131" w:lineRule="exact"/>
              <w:rPr>
                <w:sz w:val="20"/>
                <w:szCs w:val="20"/>
                <w:color w:val="auto"/>
              </w:rPr>
            </w:pPr>
            <w:r>
              <w:rPr>
                <w:rFonts w:ascii="Times New Roman" w:cs="Times New Roman" w:eastAsia="Times New Roman" w:hAnsi="Times New Roman"/>
                <w:sz w:val="12"/>
                <w:szCs w:val="12"/>
                <w:color w:val="auto"/>
              </w:rPr>
              <w:t>Diluted</w:t>
            </w: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357,779,408</w:t>
            </w: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349,840,481</w:t>
            </w: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347,246,768</w:t>
            </w:r>
          </w:p>
        </w:tc>
        <w:tc>
          <w:tcPr>
            <w:tcW w:w="2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bl>
    <w:p>
      <w:pPr>
        <w:spacing w:after="0" w:line="133"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The data contained in this report is preliminary and is unaudited. This report is being submitted for the sole purpose of providing information to shareholders about Eversource Energy and Subsidiaries and is not a representation, prospectus, or intended for use in connection with any purchase or sale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168910</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73"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2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12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23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34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994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994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5017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177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2025-02-11T15:44:12Z</dcterms:created>
  <dcterms:modified xsi:type="dcterms:W3CDTF">2025-02-11T15:44:12Z</dcterms:modified>
</cp:coreProperties>
</file>