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5"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File No. 70-8062</w:t>
      </w:r>
    </w:p>
    <w:p>
      <w:pPr>
        <w:spacing w:after="0" w:line="218"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3"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____________________________________________________</w:t>
      </w:r>
    </w:p>
    <w:p>
      <w:pPr>
        <w:spacing w:after="0" w:line="21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POST-EFFECTIVE AMENDMENT NO. 4</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TO THE</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U-1</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APPLICATION AND DECLARATION</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UNDER THE</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PUBLIC UTILITY HOLDING COMPANY ACT OF 1935</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____________________________________________________</w:t>
      </w:r>
    </w:p>
    <w:p>
      <w:pPr>
        <w:spacing w:after="0" w:line="218"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NORTHEAST UTILITIES</w:t>
      </w:r>
    </w:p>
    <w:p>
      <w:pPr>
        <w:jc w:val="center"/>
        <w:ind w:right="2299"/>
        <w:spacing w:after="0" w:line="238" w:lineRule="auto"/>
        <w:rPr>
          <w:sz w:val="20"/>
          <w:szCs w:val="20"/>
          <w:color w:val="auto"/>
        </w:rPr>
      </w:pPr>
      <w:r>
        <w:rPr>
          <w:rFonts w:ascii="Courier New" w:cs="Courier New" w:eastAsia="Courier New" w:hAnsi="Courier New"/>
          <w:sz w:val="18"/>
          <w:szCs w:val="18"/>
          <w:color w:val="auto"/>
        </w:rPr>
        <w:t>174 Brush Hill Avenue</w:t>
      </w:r>
    </w:p>
    <w:p>
      <w:pPr>
        <w:jc w:val="center"/>
        <w:ind w:right="2299"/>
        <w:spacing w:after="0"/>
        <w:rPr>
          <w:sz w:val="20"/>
          <w:szCs w:val="20"/>
          <w:color w:val="auto"/>
        </w:rPr>
      </w:pPr>
      <w:r>
        <w:rPr>
          <w:rFonts w:ascii="Courier New" w:cs="Courier New" w:eastAsia="Courier New" w:hAnsi="Courier New"/>
          <w:sz w:val="18"/>
          <w:szCs w:val="18"/>
          <w:color w:val="auto"/>
        </w:rPr>
        <w:t>West Springfield, Massachusetts 01089</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CHARTER OAK ENERGY, INC.</w:t>
      </w:r>
    </w:p>
    <w:p>
      <w:pPr>
        <w:ind w:left="2000"/>
        <w:spacing w:after="0" w:line="238" w:lineRule="auto"/>
        <w:rPr>
          <w:sz w:val="20"/>
          <w:szCs w:val="20"/>
          <w:color w:val="auto"/>
        </w:rPr>
      </w:pPr>
      <w:r>
        <w:rPr>
          <w:rFonts w:ascii="Courier New" w:cs="Courier New" w:eastAsia="Courier New" w:hAnsi="Courier New"/>
          <w:sz w:val="18"/>
          <w:szCs w:val="18"/>
          <w:color w:val="auto"/>
        </w:rPr>
        <w:t>COE DEVELOPMENT CORPORATION</w:t>
      </w:r>
    </w:p>
    <w:p>
      <w:pPr>
        <w:ind w:left="2520"/>
        <w:spacing w:after="0"/>
        <w:rPr>
          <w:sz w:val="20"/>
          <w:szCs w:val="20"/>
          <w:color w:val="auto"/>
        </w:rPr>
      </w:pPr>
      <w:r>
        <w:rPr>
          <w:rFonts w:ascii="Courier New" w:cs="Courier New" w:eastAsia="Courier New" w:hAnsi="Courier New"/>
          <w:sz w:val="18"/>
          <w:szCs w:val="18"/>
          <w:color w:val="auto"/>
        </w:rPr>
        <w:t>107 Selden Street</w:t>
      </w:r>
    </w:p>
    <w:p>
      <w:pPr>
        <w:ind w:left="2420"/>
        <w:spacing w:after="0"/>
        <w:tabs>
          <w:tab w:leader="none" w:pos="3660" w:val="left"/>
        </w:tabs>
        <w:rPr>
          <w:sz w:val="20"/>
          <w:szCs w:val="20"/>
          <w:color w:val="auto"/>
        </w:rPr>
      </w:pPr>
      <w:r>
        <w:rPr>
          <w:rFonts w:ascii="Courier New" w:cs="Courier New" w:eastAsia="Courier New" w:hAnsi="Courier New"/>
          <w:sz w:val="18"/>
          <w:szCs w:val="18"/>
          <w:color w:val="auto"/>
        </w:rPr>
        <w:t>Berlin, CT</w:t>
      </w:r>
      <w:r>
        <w:rPr>
          <w:sz w:val="20"/>
          <w:szCs w:val="20"/>
          <w:color w:val="auto"/>
        </w:rPr>
        <w:tab/>
      </w:r>
      <w:r>
        <w:rPr>
          <w:rFonts w:ascii="Courier New" w:cs="Courier New" w:eastAsia="Courier New" w:hAnsi="Courier New"/>
          <w:sz w:val="16"/>
          <w:szCs w:val="16"/>
          <w:color w:val="auto"/>
        </w:rPr>
        <w:t>06037-1616</w:t>
      </w:r>
    </w:p>
    <w:p>
      <w:pPr>
        <w:ind w:left="1260"/>
        <w:spacing w:after="0" w:line="238" w:lineRule="auto"/>
        <w:rPr>
          <w:sz w:val="20"/>
          <w:szCs w:val="20"/>
          <w:color w:val="auto"/>
        </w:rPr>
      </w:pPr>
      <w:r>
        <w:rPr>
          <w:rFonts w:ascii="Courier New" w:cs="Courier New" w:eastAsia="Courier New" w:hAnsi="Courier New"/>
          <w:sz w:val="18"/>
          <w:szCs w:val="18"/>
          <w:color w:val="auto"/>
        </w:rPr>
        <w:t>(Name of company filing this statement and</w:t>
      </w:r>
    </w:p>
    <w:p>
      <w:pPr>
        <w:ind w:left="138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NORTHEAST UTILITIES</w:t>
      </w:r>
    </w:p>
    <w:p>
      <w:pPr>
        <w:ind w:left="1800"/>
        <w:spacing w:after="0" w:line="238" w:lineRule="auto"/>
        <w:rPr>
          <w:sz w:val="20"/>
          <w:szCs w:val="20"/>
          <w:color w:val="auto"/>
        </w:rPr>
      </w:pPr>
      <w:r>
        <w:rPr>
          <w:rFonts w:ascii="Courier New" w:cs="Courier New" w:eastAsia="Courier New" w:hAnsi="Courier New"/>
          <w:sz w:val="18"/>
          <w:szCs w:val="18"/>
          <w:color w:val="auto"/>
        </w:rPr>
        <w:t>(Name of top registered holding</w:t>
      </w:r>
    </w:p>
    <w:p>
      <w:pPr>
        <w:ind w:left="1060"/>
        <w:spacing w:after="0"/>
        <w:rPr>
          <w:sz w:val="20"/>
          <w:szCs w:val="20"/>
          <w:color w:val="auto"/>
        </w:rPr>
      </w:pPr>
      <w:r>
        <w:rPr>
          <w:rFonts w:ascii="Courier New" w:cs="Courier New" w:eastAsia="Courier New" w:hAnsi="Courier New"/>
          <w:sz w:val="18"/>
          <w:szCs w:val="18"/>
          <w:color w:val="auto"/>
        </w:rPr>
        <w:t>company parent of each applicant or declarant)</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Jeffrey C. Miller, Esq.</w:t>
      </w:r>
    </w:p>
    <w:p>
      <w:pPr>
        <w:ind w:left="2100"/>
        <w:spacing w:after="0" w:line="238" w:lineRule="auto"/>
        <w:rPr>
          <w:sz w:val="20"/>
          <w:szCs w:val="20"/>
          <w:color w:val="auto"/>
        </w:rPr>
      </w:pPr>
      <w:r>
        <w:rPr>
          <w:rFonts w:ascii="Courier New" w:cs="Courier New" w:eastAsia="Courier New" w:hAnsi="Courier New"/>
          <w:sz w:val="18"/>
          <w:szCs w:val="18"/>
          <w:color w:val="auto"/>
        </w:rPr>
        <w:t>Assistant General Counsel</w:t>
      </w:r>
    </w:p>
    <w:p>
      <w:pPr>
        <w:ind w:left="1580"/>
        <w:spacing w:after="0"/>
        <w:rPr>
          <w:sz w:val="20"/>
          <w:szCs w:val="20"/>
          <w:color w:val="auto"/>
        </w:rPr>
      </w:pPr>
      <w:r>
        <w:rPr>
          <w:rFonts w:ascii="Courier New" w:cs="Courier New" w:eastAsia="Courier New" w:hAnsi="Courier New"/>
          <w:sz w:val="18"/>
          <w:szCs w:val="18"/>
          <w:color w:val="auto"/>
        </w:rPr>
        <w:t>NORTHEAST UTILITIES SERVICE COMPANY</w:t>
      </w:r>
    </w:p>
    <w:p>
      <w:pPr>
        <w:ind w:left="2840"/>
        <w:spacing w:after="0" w:line="237" w:lineRule="auto"/>
        <w:rPr>
          <w:sz w:val="20"/>
          <w:szCs w:val="20"/>
          <w:color w:val="auto"/>
        </w:rPr>
      </w:pPr>
      <w:r>
        <w:rPr>
          <w:rFonts w:ascii="Courier New" w:cs="Courier New" w:eastAsia="Courier New" w:hAnsi="Courier New"/>
          <w:sz w:val="18"/>
          <w:szCs w:val="18"/>
          <w:color w:val="auto"/>
        </w:rPr>
        <w:t>P.O. Box 270</w:t>
      </w:r>
    </w:p>
    <w:p>
      <w:pPr>
        <w:ind w:left="2000"/>
        <w:spacing w:after="0" w:line="238" w:lineRule="auto"/>
        <w:rPr>
          <w:sz w:val="20"/>
          <w:szCs w:val="20"/>
          <w:color w:val="auto"/>
        </w:rPr>
      </w:pPr>
      <w:r>
        <w:rPr>
          <w:rFonts w:ascii="Courier New" w:cs="Courier New" w:eastAsia="Courier New" w:hAnsi="Courier New"/>
          <w:sz w:val="18"/>
          <w:szCs w:val="18"/>
          <w:color w:val="auto"/>
        </w:rPr>
        <w:t>Hartford, Connecticut 06141-0270</w:t>
      </w:r>
    </w:p>
    <w:p>
      <w:pPr>
        <w:ind w:left="138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6" w:lineRule="exact"/>
        <w:rPr>
          <w:sz w:val="24"/>
          <w:szCs w:val="24"/>
          <w:color w:val="auto"/>
        </w:rPr>
      </w:pPr>
    </w:p>
    <w:p>
      <w:pPr>
        <w:ind w:left="1260" w:right="3359" w:hanging="210"/>
        <w:spacing w:after="0" w:line="290" w:lineRule="auto"/>
        <w:rPr>
          <w:sz w:val="20"/>
          <w:szCs w:val="20"/>
          <w:color w:val="auto"/>
        </w:rPr>
      </w:pPr>
      <w:r>
        <w:rPr>
          <w:rFonts w:ascii="Courier New" w:cs="Courier New" w:eastAsia="Courier New" w:hAnsi="Courier New"/>
          <w:sz w:val="16"/>
          <w:szCs w:val="16"/>
          <w:color w:val="auto"/>
        </w:rPr>
        <w:t>The Commission is requested to mail copies of all orders, notices and communications to:</w:t>
      </w:r>
    </w:p>
    <w:p>
      <w:pPr>
        <w:sectPr>
          <w:pgSz w:w="11900" w:h="16855" w:orient="portrait"/>
          <w:cols w:equalWidth="0" w:num="1">
            <w:col w:w="9159"/>
          </w:cols>
          <w:pgMar w:left="1300" w:top="1440" w:right="1440" w:bottom="0" w:gutter="0" w:footer="0" w:header="0"/>
        </w:sectPr>
      </w:pP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William S. Lamb, Esq.</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LeBoeuf, Lamb, Greene &amp; MacRae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125 W. 55th Street</w:t>
      </w:r>
    </w:p>
    <w:p>
      <w:pPr>
        <w:spacing w:after="0"/>
        <w:tabs>
          <w:tab w:leader="none" w:pos="20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10019-4513</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Jeffrey C. Miller, Esq.</w:t>
      </w:r>
    </w:p>
    <w:p>
      <w:pPr>
        <w:ind w:left="200"/>
        <w:spacing w:after="0" w:line="238" w:lineRule="auto"/>
        <w:rPr>
          <w:sz w:val="20"/>
          <w:szCs w:val="20"/>
          <w:color w:val="auto"/>
        </w:rPr>
      </w:pPr>
      <w:r>
        <w:rPr>
          <w:rFonts w:ascii="Courier New" w:cs="Courier New" w:eastAsia="Courier New" w:hAnsi="Courier New"/>
          <w:sz w:val="18"/>
          <w:szCs w:val="18"/>
          <w:color w:val="auto"/>
        </w:rPr>
        <w:t>Assistant General Counsel</w:t>
      </w:r>
    </w:p>
    <w:p>
      <w:pPr>
        <w:spacing w:after="0"/>
        <w:rPr>
          <w:sz w:val="20"/>
          <w:szCs w:val="20"/>
          <w:color w:val="auto"/>
        </w:rPr>
      </w:pPr>
      <w:r>
        <w:rPr>
          <w:rFonts w:ascii="Courier New" w:cs="Courier New" w:eastAsia="Courier New" w:hAnsi="Courier New"/>
          <w:sz w:val="18"/>
          <w:szCs w:val="18"/>
          <w:color w:val="auto"/>
        </w:rPr>
        <w:t>NORTHEAST UTILITIES</w:t>
      </w:r>
    </w:p>
    <w:p>
      <w:pPr>
        <w:ind w:left="200"/>
        <w:spacing w:after="0" w:line="237" w:lineRule="auto"/>
        <w:rPr>
          <w:sz w:val="20"/>
          <w:szCs w:val="20"/>
          <w:color w:val="auto"/>
        </w:rPr>
      </w:pPr>
      <w:r>
        <w:rPr>
          <w:rFonts w:ascii="Courier New" w:cs="Courier New" w:eastAsia="Courier New" w:hAnsi="Courier New"/>
          <w:sz w:val="18"/>
          <w:szCs w:val="18"/>
          <w:color w:val="auto"/>
        </w:rPr>
        <w:t>SERVICE COMPANY</w:t>
      </w:r>
    </w:p>
    <w:p>
      <w:pPr>
        <w:spacing w:after="0" w:line="238" w:lineRule="auto"/>
        <w:rPr>
          <w:sz w:val="20"/>
          <w:szCs w:val="20"/>
          <w:color w:val="auto"/>
        </w:rPr>
      </w:pPr>
      <w:r>
        <w:rPr>
          <w:rFonts w:ascii="Courier New" w:cs="Courier New" w:eastAsia="Courier New" w:hAnsi="Courier New"/>
          <w:sz w:val="18"/>
          <w:szCs w:val="18"/>
          <w:color w:val="auto"/>
        </w:rPr>
        <w:t>P.O. Box 270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Hartford, Connecticut 06141-0270</w:t>
      </w:r>
    </w:p>
    <w:p>
      <w:pPr>
        <w:spacing w:after="0" w:line="200" w:lineRule="exact"/>
        <w:rPr>
          <w:sz w:val="24"/>
          <w:szCs w:val="24"/>
          <w:color w:val="auto"/>
        </w:rPr>
      </w:pPr>
    </w:p>
    <w:p>
      <w:pPr>
        <w:sectPr>
          <w:pgSz w:w="11900" w:h="16855" w:orient="portrait"/>
          <w:cols w:equalWidth="0" w:num="2">
            <w:col w:w="3160" w:space="320"/>
            <w:col w:w="5679"/>
          </w:cols>
          <w:pgMar w:left="1300" w:top="1440" w:right="1440" w:bottom="0" w:gutter="0" w:footer="0" w:header="0"/>
          <w:type w:val="continuous"/>
        </w:sectPr>
      </w:pPr>
    </w:p>
    <w:p>
      <w:pPr>
        <w:spacing w:after="0" w:line="22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Northeast Utilities ("NU"), West Springfield,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Massachusetts, a registered holding company, and its wholly owned</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subsidiaries, Charter Oak Energy, Inc. ("Charter Oak") and COE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Development Corporation ("COE Development"), both located in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Berlin, Connecticut, (collectively, the "Applicants") hereby file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Post-Effective Amendment No. 4 to their Application and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Declaration on Form U-1 (HCAR. 25726; December 30, 1992; File No.</w:t>
      </w:r>
    </w:p>
    <w:p>
      <w:pPr>
        <w:spacing w:after="0" w:line="218" w:lineRule="exact"/>
        <w:rPr>
          <w:sz w:val="24"/>
          <w:szCs w:val="24"/>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70-8062) (the "Amendment").</w:t>
      </w:r>
      <w:r>
        <w:rPr>
          <w:sz w:val="20"/>
          <w:szCs w:val="20"/>
          <w:color w:val="auto"/>
        </w:rPr>
        <w:tab/>
      </w:r>
      <w:r>
        <w:rPr>
          <w:rFonts w:ascii="Courier New" w:cs="Courier New" w:eastAsia="Courier New" w:hAnsi="Courier New"/>
          <w:sz w:val="16"/>
          <w:szCs w:val="16"/>
          <w:color w:val="auto"/>
        </w:rPr>
        <w:t>Under this Amendment, NU and Charter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Oak request approval under Sections 6(a), 7, 9(a), 10 and 12(b)</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the Public Utility Holding Company Act of 1935 (the "Act") and</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45 thereunder, for a modification of the authority</w:t>
      </w:r>
    </w:p>
    <w:p>
      <w:pPr>
        <w:sectPr>
          <w:pgSz w:w="11900" w:h="16855" w:orient="portrait"/>
          <w:cols w:equalWidth="0" w:num="1">
            <w:col w:w="9159"/>
          </w:cols>
          <w:pgMar w:left="1300" w:top="1440" w:right="1440" w:bottom="0" w:gutter="0" w:footer="0" w:header="0"/>
          <w:type w:val="continuous"/>
        </w:sectPr>
      </w:pPr>
    </w:p>
    <w:bookmarkStart w:id="1" w:name="page2"/>
    <w:bookmarkEnd w:id="1"/>
    <w:p>
      <w:pPr>
        <w:spacing w:after="0" w:line="148" w:lineRule="exact"/>
        <w:rPr>
          <w:sz w:val="20"/>
          <w:szCs w:val="20"/>
          <w:color w:val="auto"/>
        </w:rPr>
      </w:pPr>
    </w:p>
    <w:p>
      <w:pPr>
        <w:ind w:right="2319"/>
        <w:spacing w:after="0" w:line="476" w:lineRule="auto"/>
        <w:rPr>
          <w:sz w:val="20"/>
          <w:szCs w:val="20"/>
          <w:color w:val="auto"/>
        </w:rPr>
      </w:pPr>
      <w:r>
        <w:rPr>
          <w:rFonts w:ascii="Courier New" w:cs="Courier New" w:eastAsia="Courier New" w:hAnsi="Courier New"/>
          <w:sz w:val="18"/>
          <w:szCs w:val="18"/>
          <w:color w:val="auto"/>
        </w:rPr>
        <w:t>previously granted to the Applicants in the Securities and Exchange Commission's (the "Commission") order dated December 30, 1992 (HCAR. 25726; File No. 70-8062) (the "December 30, 1992 Order") to include the authority to finance the acquisition of EWGs, in accordance with Section 32 of the Act and rules promulgated thereunder, and to make investments in foreign utility companies ("FUCOs") and to finance the acquisition of FUCOs, in accordance with Section 33 and rules to be promulgated thereunder. In addition, the Applicants request a modification of the authority previously granted in the December 30, 1992 Order to increase NU's authorized investment in Charter Oak to up to $100 million and to increase Charter Oak's authorized investment in COE Development to up to $100 million for preliminary development activities relating to EWGs, QFs, FUCOs and certain independent power projects including investments in EWGs and FUCOs, the acquisition of which may not require SEC approval under either Section 32 of the Act and rules promulgated thereunder, or Section 33 of the Act and rules that may be promulgated thereunder.</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DESCRIPTION OF PROPOSED TRANSACTIONS</w:t>
      </w:r>
    </w:p>
    <w:p>
      <w:pPr>
        <w:spacing w:after="0" w:line="201" w:lineRule="exact"/>
        <w:rPr>
          <w:sz w:val="20"/>
          <w:szCs w:val="20"/>
          <w:color w:val="auto"/>
        </w:rPr>
      </w:pPr>
    </w:p>
    <w:p>
      <w:pPr>
        <w:ind w:left="1060" w:hanging="53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Charter Oak</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December 30, 1992 Order and an order</w:t>
      </w:r>
    </w:p>
    <w:p>
      <w:pPr>
        <w:spacing w:after="0" w:line="207" w:lineRule="exact"/>
        <w:rPr>
          <w:sz w:val="20"/>
          <w:szCs w:val="20"/>
          <w:color w:val="auto"/>
        </w:rPr>
      </w:pPr>
    </w:p>
    <w:p>
      <w:pPr>
        <w:ind w:right="2319"/>
        <w:spacing w:after="0" w:line="476" w:lineRule="auto"/>
        <w:rPr>
          <w:sz w:val="20"/>
          <w:szCs w:val="20"/>
          <w:color w:val="auto"/>
        </w:rPr>
      </w:pPr>
      <w:r>
        <w:rPr>
          <w:rFonts w:ascii="Courier New" w:cs="Courier New" w:eastAsia="Courier New" w:hAnsi="Courier New"/>
          <w:sz w:val="18"/>
          <w:szCs w:val="18"/>
          <w:color w:val="auto"/>
        </w:rPr>
        <w:t>issued on December 29, 1992 (HCAR. No. 25721; File No. 70-8064), Charter Oak is presently authorized to pursue preliminary development activities with regard to investment and participation in qualifying cogeneration and small power production facilities as defined in the Public Utility Regulatory Policies Act of 1978 ("QFs") throughout the United States and independent power production facilities ("IPPs"). Charter Oak may invest in QFs and IPPs after obtaining Commission approval and may invest in exempt wholesale generators ("EWGs") without prior Commission approval to the extent that such authorization is not required under the Act and any applicable rules and regulations promulgated thereunder. In addition, Charter Oak is authorized to provide consulting services in relation to QFs and IPPs.</w:t>
      </w:r>
    </w:p>
    <w:p>
      <w:pPr>
        <w:spacing w:after="0" w:line="10" w:lineRule="exact"/>
        <w:rPr>
          <w:sz w:val="20"/>
          <w:szCs w:val="20"/>
          <w:color w:val="auto"/>
        </w:rPr>
      </w:pPr>
    </w:p>
    <w:p>
      <w:pPr>
        <w:ind w:left="1060" w:right="2519" w:hanging="532"/>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Expansion of Authority Regarding EWGs and FUCOs</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the December 30, 1992 Order, the Commission</w:t>
      </w:r>
    </w:p>
    <w:p>
      <w:pPr>
        <w:spacing w:after="0" w:line="207" w:lineRule="exact"/>
        <w:rPr>
          <w:sz w:val="20"/>
          <w:szCs w:val="20"/>
          <w:color w:val="auto"/>
        </w:rPr>
      </w:pPr>
    </w:p>
    <w:p>
      <w:pPr>
        <w:ind w:right="2319"/>
        <w:spacing w:after="0" w:line="558" w:lineRule="auto"/>
        <w:rPr>
          <w:sz w:val="20"/>
          <w:szCs w:val="20"/>
          <w:color w:val="auto"/>
        </w:rPr>
      </w:pPr>
      <w:r>
        <w:rPr>
          <w:rFonts w:ascii="Courier New" w:cs="Courier New" w:eastAsia="Courier New" w:hAnsi="Courier New"/>
          <w:sz w:val="16"/>
          <w:szCs w:val="16"/>
          <w:color w:val="auto"/>
        </w:rPr>
        <w:t>authorized Charter Oak and COE Development to make investments in EWGs without prior Commission approval to the extent that such</w:t>
      </w:r>
    </w:p>
    <w:p>
      <w:pPr>
        <w:sectPr>
          <w:pgSz w:w="11900" w:h="16986" w:orient="portrait"/>
          <w:cols w:equalWidth="0" w:num="1">
            <w:col w:w="9159"/>
          </w:cols>
          <w:pgMar w:left="130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approval is not required under the Act, and any applicable rules</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and regulations promulgated thereunder.</w:t>
      </w:r>
      <w:r>
        <w:rPr>
          <w:sz w:val="20"/>
          <w:szCs w:val="20"/>
          <w:color w:val="auto"/>
        </w:rPr>
        <w:tab/>
      </w:r>
      <w:r>
        <w:rPr>
          <w:rFonts w:ascii="Courier New" w:cs="Courier New" w:eastAsia="Courier New" w:hAnsi="Courier New"/>
          <w:sz w:val="16"/>
          <w:szCs w:val="16"/>
          <w:color w:val="auto"/>
        </w:rPr>
        <w:t>Charter Oak and COE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Development now request authority to make investments in FUCOs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to finance the acquisition of EWGs and FUCOs, without prior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 approval to the extent that such approval is not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under the Act, and any applicable rules and regulations</w:t>
      </w:r>
    </w:p>
    <w:p>
      <w:pPr>
        <w:spacing w:after="0" w:line="218"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promulgated thereunder.</w:t>
      </w:r>
      <w:r>
        <w:rPr>
          <w:sz w:val="20"/>
          <w:szCs w:val="20"/>
          <w:color w:val="auto"/>
        </w:rPr>
        <w:tab/>
      </w:r>
      <w:r>
        <w:rPr>
          <w:rFonts w:ascii="Courier New" w:cs="Courier New" w:eastAsia="Courier New" w:hAnsi="Courier New"/>
          <w:sz w:val="16"/>
          <w:szCs w:val="16"/>
          <w:color w:val="auto"/>
        </w:rPr>
        <w:t>If such authority is granted 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Commission, the Applicants will be able to use the $100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requested in this Amendment for the acquisition and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of EWGs without submitting applications on Form U-1 for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 of the use of such funds so long as the Applicants 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compliance with the partial safe harbor requirements of Rule</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53(a)(1)-(4) and (b)(1)-(3) under the Act.</w:t>
      </w:r>
      <w:r>
        <w:rPr>
          <w:sz w:val="20"/>
          <w:szCs w:val="20"/>
          <w:color w:val="auto"/>
        </w:rPr>
        <w:tab/>
      </w:r>
      <w:r>
        <w:rPr>
          <w:rFonts w:ascii="Courier New" w:cs="Courier New" w:eastAsia="Courier New" w:hAnsi="Courier New"/>
          <w:sz w:val="16"/>
          <w:szCs w:val="16"/>
          <w:color w:val="auto"/>
        </w:rPr>
        <w:t>In addition,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such authority is granted under the Act and the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promulgates rules under Section 33 of the Act which permit the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FUCOs without submitting applications on Form U-1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approval of the use of such funds subject to specified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the Applicants will be able to use the $100 million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requested in this Amendment for the acquisition and financing of</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FUCOs without seeking additional approval from the Commission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that any such acquisition or financing is carried out in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accordance with the conditions specified in such rules.</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The Applicants will not acquire an interest in an</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intermediate holding company that holds, or will acquire, an</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interest in a FUCO without prior Commission approval, unless</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and until the Commission promulgates rules under the Act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that provide that intermediate holding companies themselves</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may be considered FUCOs under the Act.</w:t>
      </w:r>
    </w:p>
    <w:p>
      <w:pPr>
        <w:spacing w:after="0" w:line="207" w:lineRule="exact"/>
        <w:rPr>
          <w:sz w:val="20"/>
          <w:szCs w:val="20"/>
          <w:color w:val="auto"/>
        </w:rPr>
      </w:pPr>
    </w:p>
    <w:p>
      <w:pPr>
        <w:ind w:left="520" w:right="2419" w:hanging="419"/>
        <w:spacing w:after="0" w:line="237" w:lineRule="auto"/>
        <w:tabs>
          <w:tab w:leader="none" w:pos="500" w:val="left"/>
        </w:tabs>
        <w:rPr>
          <w:sz w:val="20"/>
          <w:szCs w:val="20"/>
          <w:color w:val="auto"/>
        </w:rPr>
      </w:pPr>
      <w:r>
        <w:rPr>
          <w:rFonts w:ascii="Courier New" w:cs="Courier New" w:eastAsia="Courier New" w:hAnsi="Courier New"/>
          <w:sz w:val="18"/>
          <w:szCs w:val="18"/>
          <w:color w:val="auto"/>
        </w:rPr>
        <w:t>The</w:t>
        <w:tab/>
        <w:t>Commission promulgated final rules and forms relating to EWGs in HCAR. No. 35-25886 (September 23, 1993). In this Post-Effective Amendment No. 3, the Applicants have amended their previous filings where necessary to reflect the final version of the rules and forms.</w:t>
      </w:r>
    </w:p>
    <w:p>
      <w:pPr>
        <w:spacing w:after="0" w:line="200" w:lineRule="exact"/>
        <w:rPr>
          <w:sz w:val="20"/>
          <w:szCs w:val="20"/>
          <w:color w:val="auto"/>
        </w:rPr>
      </w:pPr>
    </w:p>
    <w:p>
      <w:pPr>
        <w:spacing w:after="0" w:line="211" w:lineRule="exact"/>
        <w:rPr>
          <w:sz w:val="20"/>
          <w:szCs w:val="20"/>
          <w:color w:val="auto"/>
        </w:rPr>
      </w:pPr>
    </w:p>
    <w:p>
      <w:pPr>
        <w:ind w:left="1060" w:right="2839" w:hanging="532"/>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Expansion of Authority for Preliminary Development Activities</w:t>
      </w:r>
    </w:p>
    <w:p>
      <w:pPr>
        <w:spacing w:after="0" w:line="203"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order dated May 17, 1989 authorizing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establishment of Charter Oak (HCAR No. 24893; File No. 70-7545)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"1989 Order") authorized Charter Oak to engage 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preliminary development activities relating to eligible private</w:t>
      </w:r>
    </w:p>
    <w:p>
      <w:pPr>
        <w:spacing w:after="0" w:line="201"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8"/>
          <w:szCs w:val="18"/>
          <w:color w:val="auto"/>
        </w:rPr>
        <w:t>power investments.</w:t>
      </w:r>
      <w:r>
        <w:rPr>
          <w:sz w:val="20"/>
          <w:szCs w:val="20"/>
          <w:color w:val="auto"/>
        </w:rPr>
        <w:tab/>
      </w:r>
      <w:r>
        <w:rPr>
          <w:rFonts w:ascii="Courier New" w:cs="Courier New" w:eastAsia="Courier New" w:hAnsi="Courier New"/>
          <w:sz w:val="16"/>
          <w:szCs w:val="16"/>
          <w:color w:val="auto"/>
        </w:rPr>
        <w:t>Prior to the enactment of the Energy Policy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 of 1992 (the "EPA"), the acquisition of an interest in 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private power project by a registered holding company system</w:t>
      </w:r>
    </w:p>
    <w:p>
      <w:pPr>
        <w:spacing w:after="0" w:line="201"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required the prior approval of the Commission.</w:t>
      </w:r>
      <w:r>
        <w:rPr>
          <w:sz w:val="20"/>
          <w:szCs w:val="20"/>
          <w:color w:val="auto"/>
        </w:rPr>
        <w:tab/>
      </w:r>
      <w:r>
        <w:rPr>
          <w:rFonts w:ascii="Courier New" w:cs="Courier New" w:eastAsia="Courier New" w:hAnsi="Courier New"/>
          <w:sz w:val="16"/>
          <w:szCs w:val="16"/>
          <w:color w:val="auto"/>
        </w:rPr>
        <w:t>In the 1989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Order, the scope of authorized preliminary development activities</w:t>
      </w:r>
    </w:p>
    <w:p>
      <w:pPr>
        <w:sectPr>
          <w:pgSz w:w="11900" w:h="16838" w:orient="portrait"/>
          <w:cols w:equalWidth="0" w:num="1">
            <w:col w:w="9159"/>
          </w:cols>
          <w:pgMar w:left="1300" w:top="344" w:right="1440" w:bottom="0" w:gutter="0" w:footer="0" w:header="0"/>
        </w:sectPr>
      </w:pPr>
    </w:p>
    <w:bookmarkStart w:id="3" w:name="page4"/>
    <w:bookmarkEnd w:id="3"/>
    <w:p>
      <w:pPr>
        <w:ind w:right="2319"/>
        <w:spacing w:after="0" w:line="536" w:lineRule="auto"/>
        <w:rPr>
          <w:sz w:val="20"/>
          <w:szCs w:val="20"/>
          <w:color w:val="auto"/>
        </w:rPr>
      </w:pPr>
      <w:r>
        <w:rPr>
          <w:rFonts w:ascii="Courier New" w:cs="Courier New" w:eastAsia="Courier New" w:hAnsi="Courier New"/>
          <w:sz w:val="16"/>
          <w:szCs w:val="16"/>
          <w:color w:val="auto"/>
        </w:rPr>
        <w:t>included only certain development activities that the Commission agreed did not constitute acquiring an interest in a project, and therefore did not require prior approval by the Commission.</w:t>
      </w:r>
    </w:p>
    <w:p>
      <w:pPr>
        <w:spacing w:after="0" w:line="1" w:lineRule="exact"/>
        <w:rPr>
          <w:sz w:val="20"/>
          <w:szCs w:val="20"/>
          <w:color w:val="auto"/>
        </w:rPr>
      </w:pPr>
    </w:p>
    <w:p>
      <w:pPr>
        <w:ind w:right="2419"/>
        <w:spacing w:after="0" w:line="476" w:lineRule="auto"/>
        <w:rPr>
          <w:sz w:val="20"/>
          <w:szCs w:val="20"/>
          <w:color w:val="auto"/>
        </w:rPr>
      </w:pPr>
      <w:r>
        <w:rPr>
          <w:rFonts w:ascii="Courier New" w:cs="Courier New" w:eastAsia="Courier New" w:hAnsi="Courier New"/>
          <w:sz w:val="18"/>
          <w:szCs w:val="18"/>
          <w:color w:val="auto"/>
        </w:rPr>
        <w:t>With the enactment of the Energy Policy Act and the promulgation of rules thereunder, registered holding company systems may acquire certain EWGs and FUCOs without prior Commission approval (referred to herein as "Exempt Projects"). Because registered holding company systems may acquire Exempt Projects without prior Commission approval, the Applicants' activities with respect to Exempt Projects will not be limited to the scope of authorized preliminary development activities provided in previous Commission orders.</w:t>
      </w:r>
    </w:p>
    <w:p>
      <w:pPr>
        <w:spacing w:after="0" w:line="7" w:lineRule="exact"/>
        <w:rPr>
          <w:sz w:val="20"/>
          <w:szCs w:val="20"/>
          <w:color w:val="auto"/>
        </w:rPr>
      </w:pPr>
    </w:p>
    <w:p>
      <w:pPr>
        <w:jc w:val="both"/>
        <w:ind w:right="2319" w:firstLine="1053"/>
        <w:spacing w:after="0" w:line="473" w:lineRule="auto"/>
        <w:rPr>
          <w:sz w:val="20"/>
          <w:szCs w:val="20"/>
          <w:color w:val="auto"/>
        </w:rPr>
      </w:pPr>
      <w:r>
        <w:rPr>
          <w:rFonts w:ascii="Courier New" w:cs="Courier New" w:eastAsia="Courier New" w:hAnsi="Courier New"/>
          <w:sz w:val="18"/>
          <w:szCs w:val="18"/>
          <w:color w:val="auto"/>
        </w:rPr>
        <w:t>As authorized in the 1989 Order and reauthorized in the December 30, 1992 Order, these preliminary development activities include: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investigation of sites, preliminary</w:t>
      </w:r>
    </w:p>
    <w:p>
      <w:pPr>
        <w:ind w:left="1060"/>
        <w:spacing w:after="0" w:line="238" w:lineRule="auto"/>
        <w:rPr>
          <w:sz w:val="20"/>
          <w:szCs w:val="20"/>
          <w:color w:val="auto"/>
        </w:rPr>
      </w:pPr>
      <w:r>
        <w:rPr>
          <w:rFonts w:ascii="Courier New" w:cs="Courier New" w:eastAsia="Courier New" w:hAnsi="Courier New"/>
          <w:sz w:val="18"/>
          <w:szCs w:val="18"/>
          <w:color w:val="auto"/>
        </w:rPr>
        <w:t>engineering and licensing activities,</w:t>
      </w:r>
    </w:p>
    <w:p>
      <w:pPr>
        <w:ind w:left="1060"/>
        <w:spacing w:after="0"/>
        <w:rPr>
          <w:sz w:val="20"/>
          <w:szCs w:val="20"/>
          <w:color w:val="auto"/>
        </w:rPr>
      </w:pPr>
      <w:r>
        <w:rPr>
          <w:rFonts w:ascii="Courier New" w:cs="Courier New" w:eastAsia="Courier New" w:hAnsi="Courier New"/>
          <w:sz w:val="18"/>
          <w:szCs w:val="18"/>
          <w:color w:val="auto"/>
        </w:rPr>
        <w:t>acquiring options and rights, contract</w:t>
      </w:r>
    </w:p>
    <w:p>
      <w:pPr>
        <w:ind w:left="1060"/>
        <w:spacing w:after="0" w:line="237" w:lineRule="auto"/>
        <w:rPr>
          <w:sz w:val="20"/>
          <w:szCs w:val="20"/>
          <w:color w:val="auto"/>
        </w:rPr>
      </w:pPr>
      <w:r>
        <w:rPr>
          <w:rFonts w:ascii="Courier New" w:cs="Courier New" w:eastAsia="Courier New" w:hAnsi="Courier New"/>
          <w:sz w:val="18"/>
          <w:szCs w:val="18"/>
          <w:color w:val="auto"/>
        </w:rPr>
        <w:t>drafting and negotiating, preparation of</w:t>
      </w:r>
    </w:p>
    <w:p>
      <w:pPr>
        <w:ind w:left="1060"/>
        <w:spacing w:after="0" w:line="238" w:lineRule="auto"/>
        <w:rPr>
          <w:sz w:val="20"/>
          <w:szCs w:val="20"/>
          <w:color w:val="auto"/>
        </w:rPr>
      </w:pPr>
      <w:r>
        <w:rPr>
          <w:rFonts w:ascii="Courier New" w:cs="Courier New" w:eastAsia="Courier New" w:hAnsi="Courier New"/>
          <w:sz w:val="18"/>
          <w:szCs w:val="18"/>
          <w:color w:val="auto"/>
        </w:rPr>
        <w:t>proposals and other necessary activities to</w:t>
      </w:r>
    </w:p>
    <w:p>
      <w:pPr>
        <w:ind w:left="1060"/>
        <w:spacing w:after="0"/>
        <w:rPr>
          <w:sz w:val="20"/>
          <w:szCs w:val="20"/>
          <w:color w:val="auto"/>
        </w:rPr>
      </w:pPr>
      <w:r>
        <w:rPr>
          <w:rFonts w:ascii="Courier New" w:cs="Courier New" w:eastAsia="Courier New" w:hAnsi="Courier New"/>
          <w:sz w:val="18"/>
          <w:szCs w:val="18"/>
          <w:color w:val="auto"/>
        </w:rPr>
        <w:t>identify and analyze feasible investment</w:t>
      </w:r>
    </w:p>
    <w:p>
      <w:pPr>
        <w:ind w:left="1060"/>
        <w:spacing w:after="0" w:line="237" w:lineRule="auto"/>
        <w:rPr>
          <w:sz w:val="20"/>
          <w:szCs w:val="20"/>
          <w:color w:val="auto"/>
        </w:rPr>
      </w:pPr>
      <w:r>
        <w:rPr>
          <w:rFonts w:ascii="Courier New" w:cs="Courier New" w:eastAsia="Courier New" w:hAnsi="Courier New"/>
          <w:sz w:val="18"/>
          <w:szCs w:val="18"/>
          <w:color w:val="auto"/>
        </w:rPr>
        <w:t>opportunities and to initiate the</w:t>
      </w:r>
    </w:p>
    <w:p>
      <w:pPr>
        <w:ind w:left="1060"/>
        <w:spacing w:after="0"/>
        <w:rPr>
          <w:sz w:val="20"/>
          <w:szCs w:val="20"/>
          <w:color w:val="auto"/>
        </w:rPr>
      </w:pPr>
      <w:r>
        <w:rPr>
          <w:rFonts w:ascii="Courier New" w:cs="Courier New" w:eastAsia="Courier New" w:hAnsi="Courier New"/>
          <w:sz w:val="18"/>
          <w:szCs w:val="18"/>
          <w:color w:val="auto"/>
        </w:rPr>
        <w:t>commercialization of a project.</w:t>
      </w:r>
    </w:p>
    <w:p>
      <w:pPr>
        <w:spacing w:after="0" w:line="206" w:lineRule="exact"/>
        <w:rPr>
          <w:sz w:val="20"/>
          <w:szCs w:val="20"/>
          <w:color w:val="auto"/>
        </w:rPr>
      </w:pPr>
    </w:p>
    <w:p>
      <w:pPr>
        <w:ind w:right="2319"/>
        <w:spacing w:after="0" w:line="475" w:lineRule="auto"/>
        <w:rPr>
          <w:sz w:val="20"/>
          <w:szCs w:val="20"/>
          <w:color w:val="auto"/>
        </w:rPr>
      </w:pPr>
      <w:r>
        <w:rPr>
          <w:rFonts w:ascii="Courier New" w:cs="Courier New" w:eastAsia="Courier New" w:hAnsi="Courier New"/>
          <w:sz w:val="18"/>
          <w:szCs w:val="18"/>
          <w:color w:val="auto"/>
        </w:rPr>
        <w:t>The Applicants now request authority to expand the current scope of permissible preliminary development activities for projects the acquisition of which require Commission approval (referred to herein as "Non-exempt Projects") to include the issuance of guarantees and assumptions of liability by NU, Charter Oak or any Charter Oak subsidiary to unaffiliated third parties in connection with such development activities. The</w:t>
      </w:r>
    </w:p>
    <w:p>
      <w:pPr>
        <w:spacing w:after="0" w:line="11" w:lineRule="exact"/>
        <w:rPr>
          <w:sz w:val="20"/>
          <w:szCs w:val="20"/>
          <w:color w:val="auto"/>
        </w:rPr>
      </w:pPr>
    </w:p>
    <w:p>
      <w:pPr>
        <w:ind w:right="2319"/>
        <w:spacing w:after="0" w:line="539" w:lineRule="auto"/>
        <w:rPr>
          <w:sz w:val="20"/>
          <w:szCs w:val="20"/>
          <w:color w:val="auto"/>
        </w:rPr>
      </w:pPr>
      <w:r>
        <w:rPr>
          <w:rFonts w:ascii="Courier New" w:cs="Courier New" w:eastAsia="Courier New" w:hAnsi="Courier New"/>
          <w:sz w:val="16"/>
          <w:szCs w:val="16"/>
          <w:color w:val="auto"/>
        </w:rPr>
        <w:t>guarantees and assumptions of liability for which the Applicants are seeking approval with respect to Non-exempt Projects are limited to preliminary development activities and will not include guarantees relating to construction financing or permanent financing. Charter Oak has found that on occasion such guarantees and assumptions of liability may provide them with opportunities to participate in private power opportunities on a favorable basis without expending funds. The total value of such guarantees and assumptions of liability outstanding at any time will not exceed $20 million. The term of any such guarantee or assumption of liability will not exceed five years. Until such time as there is no possibility of a claim against Charter Oak or NU, the full contingent amount of any guarantees and assumptions of liability would be counted as part of the authorized</w:t>
      </w:r>
    </w:p>
    <w:p>
      <w:pPr>
        <w:sectPr>
          <w:pgSz w:w="11900" w:h="16838" w:orient="portrait"/>
          <w:cols w:equalWidth="0" w:num="1">
            <w:col w:w="9159"/>
          </w:cols>
          <w:pgMar w:left="1300" w:top="142" w:right="1440" w:bottom="103"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development activities limit requested by the Applicants in this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7" w:lineRule="exact"/>
        <w:rPr>
          <w:sz w:val="20"/>
          <w:szCs w:val="20"/>
          <w:color w:val="auto"/>
        </w:rPr>
      </w:pPr>
    </w:p>
    <w:p>
      <w:pPr>
        <w:ind w:left="520" w:right="2319" w:hanging="419"/>
        <w:spacing w:after="0"/>
        <w:tabs>
          <w:tab w:leader="none" w:pos="500" w:val="left"/>
        </w:tabs>
        <w:rPr>
          <w:sz w:val="20"/>
          <w:szCs w:val="20"/>
          <w:color w:val="auto"/>
        </w:rPr>
      </w:pPr>
      <w:r>
        <w:rPr>
          <w:rFonts w:ascii="Courier New" w:cs="Courier New" w:eastAsia="Courier New" w:hAnsi="Courier New"/>
          <w:sz w:val="18"/>
          <w:szCs w:val="18"/>
          <w:color w:val="auto"/>
        </w:rPr>
        <w:t>For</w:t>
        <w:tab/>
        <w:t>purposes of this Amendment, the term Exempt Projects shall include FUCOs only to the extent that Commission approval for the acquisition or financing of any such entity by the Applicants is not required under the Act and applicable rules and regulations thereunder as then in effect.</w:t>
      </w:r>
    </w:p>
    <w:p>
      <w:pPr>
        <w:spacing w:after="0" w:line="399" w:lineRule="exact"/>
        <w:rPr>
          <w:sz w:val="20"/>
          <w:szCs w:val="20"/>
          <w:color w:val="auto"/>
        </w:rPr>
      </w:pPr>
    </w:p>
    <w:p>
      <w:pPr>
        <w:ind w:left="520" w:right="2319" w:hanging="420"/>
        <w:spacing w:after="0" w:line="237" w:lineRule="auto"/>
        <w:rPr>
          <w:sz w:val="20"/>
          <w:szCs w:val="20"/>
          <w:color w:val="auto"/>
        </w:rPr>
      </w:pPr>
      <w:r>
        <w:rPr>
          <w:rFonts w:ascii="Courier New" w:cs="Courier New" w:eastAsia="Courier New" w:hAnsi="Courier New"/>
          <w:sz w:val="18"/>
          <w:szCs w:val="18"/>
          <w:color w:val="auto"/>
        </w:rPr>
        <w:t>Such guarantees and assumptions of liability may include bid bonds, earnest money, reimbursement obligations to parties providing letters of credit, performance bonds, and material and payment bonds.</w:t>
      </w:r>
    </w:p>
    <w:p>
      <w:pPr>
        <w:spacing w:after="0" w:line="207" w:lineRule="exact"/>
        <w:rPr>
          <w:sz w:val="20"/>
          <w:szCs w:val="20"/>
          <w:color w:val="auto"/>
        </w:rPr>
      </w:pPr>
    </w:p>
    <w:p>
      <w:pPr>
        <w:ind w:right="2319" w:firstLine="1053"/>
        <w:spacing w:after="0" w:line="476" w:lineRule="auto"/>
        <w:rPr>
          <w:sz w:val="20"/>
          <w:szCs w:val="20"/>
          <w:color w:val="auto"/>
        </w:rPr>
      </w:pPr>
      <w:r>
        <w:rPr>
          <w:rFonts w:ascii="Courier New" w:cs="Courier New" w:eastAsia="Courier New" w:hAnsi="Courier New"/>
          <w:sz w:val="18"/>
          <w:szCs w:val="18"/>
          <w:color w:val="auto"/>
        </w:rPr>
        <w:t>The Applicants also seek authority for the issuance of guarantees and assumptions of liability in relation to development activities for Exempt Projects, including construction and permanent financing, in accordance with the Act. Until such time as there is no possibility of a claim against Charter Oak or NU, the full contingent amount of any such guarantees and assumptions of liability would be counted as part of the authorized development activities limit requested by the Applicants in this Amendment.</w:t>
      </w:r>
    </w:p>
    <w:p>
      <w:pPr>
        <w:spacing w:after="0" w:line="7" w:lineRule="exact"/>
        <w:rPr>
          <w:sz w:val="20"/>
          <w:szCs w:val="20"/>
          <w:color w:val="auto"/>
        </w:rPr>
      </w:pPr>
    </w:p>
    <w:p>
      <w:pPr>
        <w:ind w:right="2319" w:firstLine="1053"/>
        <w:spacing w:after="0" w:line="476" w:lineRule="auto"/>
        <w:rPr>
          <w:sz w:val="20"/>
          <w:szCs w:val="20"/>
          <w:color w:val="auto"/>
        </w:rPr>
      </w:pPr>
      <w:r>
        <w:rPr>
          <w:rFonts w:ascii="Courier New" w:cs="Courier New" w:eastAsia="Courier New" w:hAnsi="Courier New"/>
          <w:sz w:val="18"/>
          <w:szCs w:val="18"/>
          <w:color w:val="auto"/>
        </w:rPr>
        <w:t>Applicants existing authority includes the ability to pursue preliminary development activities with regard to IPPs throughout the United States. Following enactment of the EPA, such broad authority is no longer necessary. Applicants believe that the only circumstances in which they would be permitted to acquire or finance a generation facility that could not qualify as a QF, EWG or FUCO would be when such a facility constitutes a part of NU's "integrated public utility system" as within the meaning of Section 2(a)(29)(A) of the Act. Consequently, Applicants seek to preserve their authority to pursue preliminary development activities with respect to IPPs only with respect to IPPS that would constitute a part of NU's "integrated public utility system" within the meaning of Section 2(a)(29)(A) of the Act.</w:t>
      </w:r>
    </w:p>
    <w:p>
      <w:pPr>
        <w:spacing w:after="0" w:line="10" w:lineRule="exact"/>
        <w:rPr>
          <w:sz w:val="20"/>
          <w:szCs w:val="20"/>
          <w:color w:val="auto"/>
        </w:rPr>
      </w:pPr>
    </w:p>
    <w:p>
      <w:pPr>
        <w:ind w:right="2319" w:firstLine="1053"/>
        <w:spacing w:after="0" w:line="476" w:lineRule="auto"/>
        <w:rPr>
          <w:sz w:val="20"/>
          <w:szCs w:val="20"/>
          <w:color w:val="auto"/>
        </w:rPr>
      </w:pPr>
      <w:r>
        <w:rPr>
          <w:rFonts w:ascii="Courier New" w:cs="Courier New" w:eastAsia="Courier New" w:hAnsi="Courier New"/>
          <w:sz w:val="18"/>
          <w:szCs w:val="18"/>
          <w:color w:val="auto"/>
        </w:rPr>
        <w:t>The Applicants do not intend to engage in preliminary development activities for any power project in which they do not believe they will be able to hold an ownership interest. In the early stages of developing a power project, however, it is not always certain what the eventual status of a facility will be under the 1935 Act and PURPA. For example, a facility being constructed to be a qualifying cogeneration facility under PURPA may fail to achieve QF certification because the intended industrial use is no longer commercially viable. Or, a facility</w:t>
      </w:r>
    </w:p>
    <w:p>
      <w:pPr>
        <w:sectPr>
          <w:pgSz w:w="11900" w:h="16838" w:orient="portrait"/>
          <w:cols w:equalWidth="0" w:num="1">
            <w:col w:w="9159"/>
          </w:cols>
          <w:pgMar w:left="1300" w:top="142" w:right="1440" w:bottom="0" w:gutter="0" w:footer="0" w:header="0"/>
        </w:sectPr>
      </w:pPr>
    </w:p>
    <w:bookmarkStart w:id="5" w:name="page6"/>
    <w:bookmarkEnd w:id="5"/>
    <w:p>
      <w:pPr>
        <w:ind w:right="2319"/>
        <w:spacing w:after="0" w:line="476" w:lineRule="auto"/>
        <w:rPr>
          <w:sz w:val="20"/>
          <w:szCs w:val="20"/>
          <w:color w:val="auto"/>
        </w:rPr>
      </w:pPr>
      <w:r>
        <w:rPr>
          <w:rFonts w:ascii="Courier New" w:cs="Courier New" w:eastAsia="Courier New" w:hAnsi="Courier New"/>
          <w:sz w:val="18"/>
          <w:szCs w:val="18"/>
          <w:color w:val="auto"/>
        </w:rPr>
        <w:t>for which EWG status is being sought may, particularly in a state in which retail wheeling is being actively promoted by state regulators, decide to sell some of its power directly to industrial customers. In the event that a facility in which the Applicants have done preliminary development work does not qualify as a QF, EWG or FUCO and cannot be part of NU's integrated public utility system, the Applicants will make all commercially reasonable efforts to sell or assign its interests in a manner that will allow it to recoup its preliminary development expenditures.</w:t>
      </w:r>
    </w:p>
    <w:p>
      <w:pPr>
        <w:spacing w:after="0" w:line="204" w:lineRule="exact"/>
        <w:rPr>
          <w:sz w:val="20"/>
          <w:szCs w:val="20"/>
          <w:color w:val="auto"/>
        </w:rPr>
      </w:pPr>
    </w:p>
    <w:p>
      <w:pPr>
        <w:ind w:left="1060" w:hanging="532"/>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Authority for Additional Investment</w:t>
      </w:r>
    </w:p>
    <w:p>
      <w:pPr>
        <w:spacing w:after="0" w:line="207" w:lineRule="exact"/>
        <w:rPr>
          <w:sz w:val="20"/>
          <w:szCs w:val="20"/>
          <w:color w:val="auto"/>
        </w:rPr>
      </w:pPr>
    </w:p>
    <w:p>
      <w:pPr>
        <w:ind w:right="2319" w:firstLine="1053"/>
        <w:spacing w:after="0" w:line="536" w:lineRule="auto"/>
        <w:rPr>
          <w:sz w:val="20"/>
          <w:szCs w:val="20"/>
          <w:color w:val="auto"/>
        </w:rPr>
      </w:pPr>
      <w:r>
        <w:rPr>
          <w:rFonts w:ascii="Courier New" w:cs="Courier New" w:eastAsia="Courier New" w:hAnsi="Courier New"/>
          <w:sz w:val="16"/>
          <w:szCs w:val="16"/>
          <w:color w:val="auto"/>
        </w:rPr>
        <w:t>Under the December 30, 1992 Order, during 1993 and 1994, NU is authorized to invest in Charter Oak up to $10 million annually and Charter Oak is authorized to invest in COE Development up to $9 million annually. In addition, Charter Oak and COE Development are authorized to annually spend $10 million and $9 million, respectively. The Applicants have also recently obtained approval to invest up to $7 million to acquire an interest in a power plant in the United Kingdom (HCAR. No. 35-25891; September 24, 1993; File No. 70-8084) (the "U.K. Order").</w:t>
      </w:r>
    </w:p>
    <w:p>
      <w:pPr>
        <w:spacing w:after="0" w:line="3" w:lineRule="exact"/>
        <w:rPr>
          <w:sz w:val="20"/>
          <w:szCs w:val="20"/>
          <w:color w:val="auto"/>
        </w:rPr>
      </w:pPr>
    </w:p>
    <w:p>
      <w:pPr>
        <w:ind w:right="2319" w:firstLine="1053"/>
        <w:spacing w:after="0" w:line="539" w:lineRule="auto"/>
        <w:rPr>
          <w:sz w:val="20"/>
          <w:szCs w:val="20"/>
          <w:color w:val="auto"/>
        </w:rPr>
      </w:pPr>
      <w:r>
        <w:rPr>
          <w:rFonts w:ascii="Courier New" w:cs="Courier New" w:eastAsia="Courier New" w:hAnsi="Courier New"/>
          <w:sz w:val="16"/>
          <w:szCs w:val="16"/>
          <w:color w:val="auto"/>
        </w:rPr>
        <w:t>The Applicants request a modification to the Commission's December 30, 1992 Order to increase NU's authorized investment limit in Charter Oak up to $100 million for the period from January 1, 1993 through December 31, 1994 for additional preliminary development activities, for investments in QFs and IPPs (subject to the limits discussed above) for which the Applicants will obtain prior Commission approval and for investments in EWGs and FUCOs, that may or may not require prior Commission approval under the Act and any rules and regulations promulgated thereunder. In addition, the Applicants request a modification to the Commission's December 30, 1992 Order to increase Charter Oak's authorized investment in COE Development up to $100 million for the period from January 1, 1993 through December 31, 1994 for additional preliminary development activities and for investments in QFs and IPPs (subject to the limits discussed above) for which the Applicants will obtain prior Commission approval and for investments in EWGs and FUCOs that may or may not require prior Commission approval under the Act and any rules and regulations promulgated thereunder. Charter Oak and COE Development also seek authority to spend up</w:t>
      </w:r>
    </w:p>
    <w:p>
      <w:pPr>
        <w:sectPr>
          <w:pgSz w:w="11900" w:h="16838" w:orient="portrait"/>
          <w:cols w:equalWidth="0" w:num="1">
            <w:col w:w="9159"/>
          </w:cols>
          <w:pgMar w:left="1300" w:top="142" w:right="1440" w:bottom="499" w:gutter="0" w:footer="0" w:header="0"/>
        </w:sectPr>
      </w:pPr>
    </w:p>
    <w:bookmarkStart w:id="6" w:name="page7"/>
    <w:bookmarkEnd w:id="6"/>
    <w:p>
      <w:pPr>
        <w:ind w:right="2319"/>
        <w:spacing w:after="0" w:line="474" w:lineRule="auto"/>
        <w:rPr>
          <w:sz w:val="20"/>
          <w:szCs w:val="20"/>
          <w:color w:val="auto"/>
        </w:rPr>
      </w:pPr>
      <w:r>
        <w:rPr>
          <w:rFonts w:ascii="Courier New" w:cs="Courier New" w:eastAsia="Courier New" w:hAnsi="Courier New"/>
          <w:sz w:val="18"/>
          <w:szCs w:val="18"/>
          <w:color w:val="auto"/>
        </w:rPr>
        <w:t>to $100 million for the period from January 1, 1993 through December 30, 1994. The $100 million authorization requested in this Amendment includes the $7 million investment approved in the U.K. Order.</w:t>
      </w:r>
    </w:p>
    <w:p>
      <w:pPr>
        <w:spacing w:after="0" w:line="10" w:lineRule="exact"/>
        <w:rPr>
          <w:sz w:val="20"/>
          <w:szCs w:val="20"/>
          <w:color w:val="auto"/>
        </w:rPr>
      </w:pPr>
    </w:p>
    <w:p>
      <w:pPr>
        <w:ind w:right="2319" w:firstLine="1053"/>
        <w:spacing w:after="0" w:line="476" w:lineRule="auto"/>
        <w:rPr>
          <w:sz w:val="20"/>
          <w:szCs w:val="20"/>
          <w:color w:val="auto"/>
        </w:rPr>
      </w:pPr>
      <w:r>
        <w:rPr>
          <w:rFonts w:ascii="Courier New" w:cs="Courier New" w:eastAsia="Courier New" w:hAnsi="Courier New"/>
          <w:sz w:val="18"/>
          <w:szCs w:val="18"/>
          <w:color w:val="auto"/>
        </w:rPr>
        <w:t>This request for increased funding is based on the Applicants' desire to further increase its preliminary development activities and to make investments in QFs, certain IPPs, EWGs and FUCOs. This request is consistent with intent of the U.S. Congress to promote private power activities by utility companies in the U.S. and abroad when Congress enacted the amendments to the Act in the EPA. In addition, this request for up to $100 million, together with the Applicants' present investments in private power, is relatively small compared to the total EWG and FUCO investment limit in Rule 53 under the Act.</w:t>
      </w:r>
    </w:p>
    <w:p>
      <w:pPr>
        <w:spacing w:after="0" w:line="8" w:lineRule="exact"/>
        <w:rPr>
          <w:sz w:val="20"/>
          <w:szCs w:val="20"/>
          <w:color w:val="auto"/>
        </w:rPr>
      </w:pPr>
    </w:p>
    <w:p>
      <w:pPr>
        <w:ind w:right="2319" w:firstLine="1053"/>
        <w:spacing w:after="0" w:line="476" w:lineRule="auto"/>
        <w:rPr>
          <w:sz w:val="20"/>
          <w:szCs w:val="20"/>
          <w:color w:val="auto"/>
        </w:rPr>
      </w:pPr>
      <w:r>
        <w:rPr>
          <w:rFonts w:ascii="Courier New" w:cs="Courier New" w:eastAsia="Courier New" w:hAnsi="Courier New"/>
          <w:sz w:val="18"/>
          <w:szCs w:val="18"/>
          <w:color w:val="auto"/>
        </w:rPr>
        <w:t>NU's investment in Charter Oak, and Charter Oak's investment in COE Development, may take the form of additional acquisitions of common stock, capital contributions, open account advances and/or subordinated loans (collectively, "Investments"). Any such open account advances or subordinated loans would bear interest at a rate based on NU's cost of funds in effect on the date of issue, but in no case in excess of the prime rate at a bank designated by NU. In addition, pursuant to the initial authorization of Charter Oak in the 1989 Order, which was extended by the December 30, 1992 Order, Charter Oak may obtain debt financing from unaffiliated third parties ("Debt Financing"), as long as the total of all Investments together with any Debt Financing does not exceed the total funding authorization of Charter Oak. Such Debt Financing may require a guarantee by NU. Pursuant to the 1989 Order, non-</w:t>
      </w:r>
    </w:p>
    <w:p>
      <w:pPr>
        <w:spacing w:after="0" w:line="11" w:lineRule="exact"/>
        <w:rPr>
          <w:sz w:val="20"/>
          <w:szCs w:val="20"/>
          <w:color w:val="auto"/>
        </w:rPr>
      </w:pPr>
    </w:p>
    <w:p>
      <w:pPr>
        <w:ind w:right="2319"/>
        <w:spacing w:after="0" w:line="541" w:lineRule="auto"/>
        <w:rPr>
          <w:sz w:val="20"/>
          <w:szCs w:val="20"/>
          <w:color w:val="auto"/>
        </w:rPr>
      </w:pPr>
      <w:r>
        <w:rPr>
          <w:rFonts w:ascii="Courier New" w:cs="Courier New" w:eastAsia="Courier New" w:hAnsi="Courier New"/>
          <w:sz w:val="16"/>
          <w:szCs w:val="16"/>
          <w:color w:val="auto"/>
        </w:rPr>
        <w:t>affiliate Debt Financing obtained by Charter Oak will not exceed a term of 15 years or bear a floating interest rate in excess of 125% of the prime rate in effect at the time of issuance or a fixed interest rate more than 350 basis points above that borne by U.S. Treasury securities of comparable maturities. If any nonaffiliated Debt Financing obtained by Charter Oak is guaranteed by NU, the term of such Debt Financing will not exceed 15 years and the interest rate will not exceed the prime rate in effect on the date of issue at a bank designated by NU from among the major lenders to the companies in the NU system. In connection with any Debt Financing obtained by Charter Oak,</w:t>
      </w:r>
    </w:p>
    <w:p>
      <w:pPr>
        <w:sectPr>
          <w:pgSz w:w="11900" w:h="16838" w:orient="portrait"/>
          <w:cols w:equalWidth="0" w:num="1">
            <w:col w:w="9159"/>
          </w:cols>
          <w:pgMar w:left="130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Charter Oak may be required to pay commitment and other fees not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exceed 25 basis points per annum on the total amount of the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Debt Financing.</w:t>
      </w:r>
      <w:r>
        <w:rPr>
          <w:sz w:val="20"/>
          <w:szCs w:val="20"/>
          <w:color w:val="auto"/>
        </w:rPr>
        <w:tab/>
      </w:r>
      <w:r>
        <w:rPr>
          <w:rFonts w:ascii="Courier New" w:cs="Courier New" w:eastAsia="Courier New" w:hAnsi="Courier New"/>
          <w:sz w:val="16"/>
          <w:szCs w:val="16"/>
          <w:color w:val="auto"/>
        </w:rPr>
        <w:t>Pursuant to the 1989 Order, Charter Oak has 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exception from the competitive bidding requirements of Rule 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Rule 50(a)(5) with respect to the proposed issuance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securities in connection with such Debt Financing.</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Rule 53(a)(1) places a limit on EWG and FUCO investments of</w:t>
      </w:r>
    </w:p>
    <w:p>
      <w:pPr>
        <w:spacing w:after="0" w:line="4" w:lineRule="exact"/>
        <w:rPr>
          <w:sz w:val="20"/>
          <w:szCs w:val="20"/>
          <w:color w:val="auto"/>
        </w:rPr>
      </w:pPr>
    </w:p>
    <w:p>
      <w:pPr>
        <w:ind w:left="520" w:right="2319"/>
        <w:spacing w:after="0" w:line="272" w:lineRule="auto"/>
        <w:rPr>
          <w:sz w:val="20"/>
          <w:szCs w:val="20"/>
          <w:color w:val="auto"/>
        </w:rPr>
      </w:pPr>
      <w:r>
        <w:rPr>
          <w:rFonts w:ascii="Courier New" w:cs="Courier New" w:eastAsia="Courier New" w:hAnsi="Courier New"/>
          <w:sz w:val="16"/>
          <w:szCs w:val="16"/>
          <w:color w:val="auto"/>
        </w:rPr>
        <w:t>50% of system consolidated retained earnings for purposes of determining whether such investments are "not reasonably adapted to the earning power of such company or to the security structure of such company and other companies in the same holding company system, or that the circumstances are such as to constitute ... an improper risk for such company..." Under this limitation, the NU system's present investment limitation is over $400 million.</w:t>
      </w:r>
    </w:p>
    <w:p>
      <w:pPr>
        <w:spacing w:after="0" w:line="385" w:lineRule="exact"/>
        <w:rPr>
          <w:sz w:val="20"/>
          <w:szCs w:val="20"/>
          <w:color w:val="auto"/>
        </w:rPr>
      </w:pPr>
    </w:p>
    <w:p>
      <w:pPr>
        <w:ind w:left="520" w:right="2839" w:hanging="420"/>
        <w:spacing w:after="0" w:line="236" w:lineRule="auto"/>
        <w:rPr>
          <w:sz w:val="20"/>
          <w:szCs w:val="20"/>
          <w:color w:val="auto"/>
        </w:rPr>
      </w:pPr>
      <w:r>
        <w:rPr>
          <w:rFonts w:ascii="Courier New" w:cs="Courier New" w:eastAsia="Courier New" w:hAnsi="Courier New"/>
          <w:sz w:val="18"/>
          <w:szCs w:val="18"/>
          <w:color w:val="auto"/>
        </w:rPr>
        <w:t>It is anticipated that such unaffiliated third parties will be banks, insurance companies and other institutional investors.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Since the Debt Financing is included within the total</w:t>
      </w:r>
    </w:p>
    <w:p>
      <w:pPr>
        <w:ind w:left="520"/>
        <w:spacing w:after="0" w:line="238" w:lineRule="auto"/>
        <w:rPr>
          <w:sz w:val="20"/>
          <w:szCs w:val="20"/>
          <w:color w:val="auto"/>
        </w:rPr>
      </w:pPr>
      <w:r>
        <w:rPr>
          <w:rFonts w:ascii="Courier New" w:cs="Courier New" w:eastAsia="Courier New" w:hAnsi="Courier New"/>
          <w:sz w:val="18"/>
          <w:szCs w:val="18"/>
          <w:color w:val="auto"/>
        </w:rPr>
        <w:t>funding authorization of Charter Oak, any guarantee by NU</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will not be counted towards the total funding authorization</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limitation.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Applicants request that the Commission renew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exception from the competitive bidding requirements 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 50(a)(5) with respect to the proposed issuance of securities</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in connection with such Debt Financing.</w:t>
      </w:r>
      <w:r>
        <w:rPr>
          <w:sz w:val="20"/>
          <w:szCs w:val="20"/>
          <w:color w:val="auto"/>
        </w:rPr>
        <w:tab/>
      </w:r>
      <w:r>
        <w:rPr>
          <w:rFonts w:ascii="Courier New" w:cs="Courier New" w:eastAsia="Courier New" w:hAnsi="Courier New"/>
          <w:sz w:val="16"/>
          <w:szCs w:val="16"/>
          <w:color w:val="auto"/>
        </w:rPr>
        <w:t>Due to the nature of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ventures contemplated by this Amendment and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uncertainty regarding the exact nature of contractual and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opportunities which may become available, flexibility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negotiate specific financing provisions with third parties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further Commission authorization, subject to the monetary</w:t>
      </w:r>
    </w:p>
    <w:p>
      <w:pPr>
        <w:spacing w:after="0" w:line="218"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8"/>
          <w:szCs w:val="18"/>
          <w:color w:val="auto"/>
        </w:rPr>
        <w:t>caps listed earlier in this Amendment, is required.</w:t>
      </w:r>
      <w:r>
        <w:rPr>
          <w:sz w:val="20"/>
          <w:szCs w:val="20"/>
          <w:color w:val="auto"/>
        </w:rPr>
        <w:tab/>
      </w:r>
      <w:r>
        <w:rPr>
          <w:rFonts w:ascii="Courier New" w:cs="Courier New" w:eastAsia="Courier New" w:hAnsi="Courier New"/>
          <w:sz w:val="16"/>
          <w:szCs w:val="16"/>
          <w:color w:val="auto"/>
        </w:rPr>
        <w:t>The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requirements of Rule 50 are unnecessary in this instance for the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protection of investors or consumers.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proposed development activities and investment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 are modest relative to the size of the NU system.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June 30, 1993, the NU system's consolidated total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capitalization, stockholders' equity and retained earnings were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$7,092,945,000, $2,203,429,000 and $867,083,000, respectively.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authorization sought herein is for up to $100 million total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 for the two years, including the existing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authorization approved in the December 30, 1992 Order,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as a percentage of the NU system's consolidated total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capitalization, stockholders' equity and retained earnings at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30, 1993 would be 1.4%, 4.5% and 11.5%,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 Oak currently has $2.3 million invested in one qualifying</w:t>
      </w:r>
    </w:p>
    <w:p>
      <w:pPr>
        <w:sectPr>
          <w:pgSz w:w="11900" w:h="16838" w:orient="portrait"/>
          <w:cols w:equalWidth="0" w:num="1">
            <w:col w:w="9159"/>
          </w:cols>
          <w:pgMar w:left="1300" w:top="344"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cogeneration facility in Texas and approximately $6.5 million</w:t>
      </w:r>
    </w:p>
    <w:p>
      <w:pPr>
        <w:spacing w:after="0" w:line="20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8"/>
          <w:szCs w:val="18"/>
          <w:color w:val="auto"/>
        </w:rPr>
        <w:t>invested in a power plant in the United Kingdom.</w:t>
      </w:r>
      <w:r>
        <w:rPr>
          <w:sz w:val="20"/>
          <w:szCs w:val="20"/>
          <w:color w:val="auto"/>
        </w:rPr>
        <w:tab/>
      </w:r>
      <w:r>
        <w:rPr>
          <w:rFonts w:ascii="Courier New" w:cs="Courier New" w:eastAsia="Courier New" w:hAnsi="Courier New"/>
          <w:sz w:val="16"/>
          <w:szCs w:val="16"/>
          <w:color w:val="auto"/>
        </w:rPr>
        <w:t>Accordingly,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Applicants have adequate assets to make the potential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and expenditures without endangering the financial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health of the registered holding company system or the system's</w:t>
      </w:r>
    </w:p>
    <w:p>
      <w:pPr>
        <w:spacing w:after="0" w:line="201"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operating public utility companies.</w:t>
      </w:r>
      <w:r>
        <w:rPr>
          <w:sz w:val="20"/>
          <w:szCs w:val="20"/>
          <w:color w:val="auto"/>
        </w:rPr>
        <w:tab/>
      </w:r>
      <w:r>
        <w:rPr>
          <w:rFonts w:ascii="Courier New" w:cs="Courier New" w:eastAsia="Courier New" w:hAnsi="Courier New"/>
          <w:sz w:val="16"/>
          <w:szCs w:val="16"/>
          <w:color w:val="auto"/>
        </w:rPr>
        <w:t>Furthermore,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 in Exempt Projects and EWG and FUCO financings that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 not require Commission approval under the Act and any rules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regulations promulgated thereunder would be made pursuant to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general authority requested above in paragraph B.</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investments would be submitted to the Commission for prior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w:t>
      </w:r>
    </w:p>
    <w:p>
      <w:pPr>
        <w:spacing w:after="0" w:line="200" w:lineRule="exact"/>
        <w:rPr>
          <w:sz w:val="20"/>
          <w:szCs w:val="20"/>
          <w:color w:val="auto"/>
        </w:rPr>
      </w:pPr>
    </w:p>
    <w:p>
      <w:pPr>
        <w:spacing w:after="0" w:line="209" w:lineRule="exact"/>
        <w:rPr>
          <w:sz w:val="20"/>
          <w:szCs w:val="20"/>
          <w:color w:val="auto"/>
        </w:rPr>
      </w:pPr>
    </w:p>
    <w:p>
      <w:pPr>
        <w:ind w:left="1060" w:right="2519" w:hanging="532"/>
        <w:spacing w:after="0" w:line="536"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Retained Earnings Tests of Rule 53(a)(1) and 53(b)(2) As discussed above, this Amendment requests approval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up to an additional $100 million investment by the NU system</w:t>
      </w:r>
    </w:p>
    <w:p>
      <w:pPr>
        <w:spacing w:after="0" w:line="21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in EWGs, FUCOs and certain other independent power projects.</w:t>
      </w:r>
      <w:r>
        <w:rPr>
          <w:sz w:val="20"/>
          <w:szCs w:val="20"/>
          <w:color w:val="auto"/>
        </w:rPr>
        <w:tab/>
      </w:r>
      <w:r>
        <w:rPr>
          <w:rFonts w:ascii="Courier New" w:cs="Courier New" w:eastAsia="Courier New" w:hAnsi="Courier New"/>
          <w:sz w:val="16"/>
          <w:szCs w:val="16"/>
          <w:color w:val="auto"/>
        </w:rPr>
        <w:t>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maximum aggregate investment by the NU System, including this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investment, would be no more than $102.3 million, which</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well below fifty percent of the NU system's consolidated</w:t>
      </w:r>
    </w:p>
    <w:p>
      <w:pPr>
        <w:spacing w:after="0" w:line="201"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retained earnings as of June 30, 1993.</w:t>
      </w:r>
      <w:r>
        <w:rPr>
          <w:sz w:val="20"/>
          <w:szCs w:val="20"/>
          <w:color w:val="auto"/>
        </w:rPr>
        <w:tab/>
      </w:r>
      <w:r>
        <w:rPr>
          <w:rFonts w:ascii="Courier New" w:cs="Courier New" w:eastAsia="Courier New" w:hAnsi="Courier New"/>
          <w:sz w:val="16"/>
          <w:szCs w:val="16"/>
          <w:color w:val="auto"/>
        </w:rPr>
        <w:t>Accordingly, this level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investment does not present a risk of substantial adverse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as described in Sections 32 and 33 of the Act and Rule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53(a)(1).</w:t>
      </w:r>
      <w:r>
        <w:rPr>
          <w:sz w:val="20"/>
          <w:szCs w:val="20"/>
          <w:color w:val="auto"/>
        </w:rPr>
        <w:tab/>
      </w:r>
      <w:r>
        <w:rPr>
          <w:rFonts w:ascii="Courier New" w:cs="Courier New" w:eastAsia="Courier New" w:hAnsi="Courier New"/>
          <w:sz w:val="16"/>
          <w:szCs w:val="16"/>
          <w:color w:val="auto"/>
        </w:rPr>
        <w:t>In addition, because the Applicants's total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EWGs, FUCOs and other power projects does not exceed more than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two percent of the total capital invested in utility operations,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 cannot be an exclusion under Rule 53(b)(2) from the safe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harbor.</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7" w:lineRule="exact"/>
        <w:rPr>
          <w:sz w:val="20"/>
          <w:szCs w:val="20"/>
          <w:color w:val="auto"/>
        </w:rPr>
      </w:pPr>
    </w:p>
    <w:p>
      <w:pPr>
        <w:ind w:left="520" w:right="2619" w:hanging="420"/>
        <w:spacing w:after="0" w:line="268" w:lineRule="auto"/>
        <w:rPr>
          <w:sz w:val="20"/>
          <w:szCs w:val="20"/>
          <w:color w:val="auto"/>
        </w:rPr>
      </w:pPr>
      <w:r>
        <w:rPr>
          <w:rFonts w:ascii="Courier New" w:cs="Courier New" w:eastAsia="Courier New" w:hAnsi="Courier New"/>
          <w:sz w:val="16"/>
          <w:szCs w:val="16"/>
          <w:color w:val="auto"/>
        </w:rPr>
        <w:t>As noted in paragraph B above, if such authority is granted by the Commission, the Applicants will be able to use the</w:t>
      </w:r>
    </w:p>
    <w:p>
      <w:pPr>
        <w:ind w:left="520" w:right="2319"/>
        <w:spacing w:after="0" w:line="237" w:lineRule="auto"/>
        <w:rPr>
          <w:sz w:val="20"/>
          <w:szCs w:val="20"/>
          <w:color w:val="auto"/>
        </w:rPr>
      </w:pPr>
      <w:r>
        <w:rPr>
          <w:rFonts w:ascii="Courier New" w:cs="Courier New" w:eastAsia="Courier New" w:hAnsi="Courier New"/>
          <w:sz w:val="18"/>
          <w:szCs w:val="18"/>
          <w:color w:val="auto"/>
        </w:rPr>
        <w:t>$100 million requested in this Amendment for the acquisition and financing of EWGs without submitting applications on Form U-1 for approval of the use of such funds so long as the Applicants are in compliance with the partial safe harbor requirements of Rule 53(a)(1)-(4) and (b)(1)-(3) under the Act.</w:t>
      </w:r>
    </w:p>
    <w:p>
      <w:pPr>
        <w:spacing w:after="0" w:line="210" w:lineRule="exact"/>
        <w:rPr>
          <w:sz w:val="20"/>
          <w:szCs w:val="20"/>
          <w:color w:val="auto"/>
        </w:rPr>
      </w:pPr>
    </w:p>
    <w:p>
      <w:pPr>
        <w:ind w:left="520" w:right="2319"/>
        <w:spacing w:after="0" w:line="271" w:lineRule="auto"/>
        <w:rPr>
          <w:sz w:val="20"/>
          <w:szCs w:val="20"/>
          <w:color w:val="auto"/>
        </w:rPr>
      </w:pPr>
      <w:r>
        <w:rPr>
          <w:rFonts w:ascii="Courier New" w:cs="Courier New" w:eastAsia="Courier New" w:hAnsi="Courier New"/>
          <w:sz w:val="16"/>
          <w:szCs w:val="16"/>
          <w:color w:val="auto"/>
        </w:rPr>
        <w:t>In addition, if such authority is granted by the Commission and the Commission promulgates rules under Section 33 of the Act to permit the acquisition of FUCOs without submitting applications on Form U-1 for approval of the use of such funds, the Applicants will be able to use the $100 million requested in this Amendment for the acquisition and financing of FUCOs without seeking additional approval from the Commission so long as the Applicants are in compliance with the conditions specified in such rules.</w:t>
      </w:r>
    </w:p>
    <w:p>
      <w:pPr>
        <w:spacing w:after="0" w:line="200" w:lineRule="exact"/>
        <w:rPr>
          <w:sz w:val="20"/>
          <w:szCs w:val="20"/>
          <w:color w:val="auto"/>
        </w:rPr>
      </w:pPr>
    </w:p>
    <w:p>
      <w:pPr>
        <w:spacing w:after="0" w:line="385" w:lineRule="exact"/>
        <w:rPr>
          <w:sz w:val="20"/>
          <w:szCs w:val="20"/>
          <w:color w:val="auto"/>
        </w:rPr>
      </w:pPr>
    </w:p>
    <w:p>
      <w:pPr>
        <w:ind w:left="1060" w:hanging="532"/>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Bankruptcy Exclusion of Rule 53(b)(1)</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Neither the Applicants nor any other members of the NU</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holding company system have been the subject of a</w:t>
      </w:r>
    </w:p>
    <w:p>
      <w:pPr>
        <w:sectPr>
          <w:pgSz w:w="11900" w:h="16838" w:orient="portrait"/>
          <w:cols w:equalWidth="0" w:num="1">
            <w:col w:w="9159"/>
          </w:cols>
          <w:pgMar w:left="1300" w:top="136" w:right="1440" w:bottom="0" w:gutter="0" w:footer="0" w:header="0"/>
        </w:sectPr>
      </w:pPr>
    </w:p>
    <w:bookmarkStart w:id="9" w:name="page10"/>
    <w:bookmarkEnd w:id="9"/>
    <w:p>
      <w:pPr>
        <w:ind w:right="2319"/>
        <w:spacing w:after="0" w:line="475" w:lineRule="auto"/>
        <w:rPr>
          <w:sz w:val="20"/>
          <w:szCs w:val="20"/>
          <w:color w:val="auto"/>
        </w:rPr>
      </w:pPr>
      <w:r>
        <w:rPr>
          <w:rFonts w:ascii="Courier New" w:cs="Courier New" w:eastAsia="Courier New" w:hAnsi="Courier New"/>
          <w:sz w:val="18"/>
          <w:szCs w:val="18"/>
          <w:color w:val="auto"/>
        </w:rPr>
        <w:t>bankruptcy or similar proceeding while a part of the NU system. Public Service Company of New Hampshire entered into bankruptcy proceedings before it was acquired by Northeast Utilities in June, 1992. Public Service Company of New Hampshire's plan of reorganization was confirmed by the bankruptcy court on April 20, 1990.</w:t>
      </w:r>
    </w:p>
    <w:p>
      <w:pPr>
        <w:spacing w:after="0" w:line="200" w:lineRule="exact"/>
        <w:rPr>
          <w:sz w:val="20"/>
          <w:szCs w:val="20"/>
          <w:color w:val="auto"/>
        </w:rPr>
      </w:pPr>
    </w:p>
    <w:p>
      <w:pPr>
        <w:spacing w:after="0" w:line="209" w:lineRule="exact"/>
        <w:rPr>
          <w:sz w:val="20"/>
          <w:szCs w:val="20"/>
          <w:color w:val="auto"/>
        </w:rPr>
      </w:pPr>
    </w:p>
    <w:p>
      <w:pPr>
        <w:ind w:left="1060" w:hanging="532"/>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Loss Limitations of Rule 53(b)(3)</w:t>
      </w:r>
    </w:p>
    <w:p>
      <w:pPr>
        <w:spacing w:after="0" w:line="207" w:lineRule="exact"/>
        <w:rPr>
          <w:sz w:val="20"/>
          <w:szCs w:val="20"/>
          <w:color w:val="auto"/>
        </w:rPr>
      </w:pPr>
    </w:p>
    <w:p>
      <w:pPr>
        <w:jc w:val="both"/>
        <w:ind w:right="2319" w:firstLine="1053"/>
        <w:spacing w:after="0" w:line="536" w:lineRule="auto"/>
        <w:rPr>
          <w:sz w:val="20"/>
          <w:szCs w:val="20"/>
          <w:color w:val="auto"/>
        </w:rPr>
      </w:pPr>
      <w:r>
        <w:rPr>
          <w:rFonts w:ascii="Courier New" w:cs="Courier New" w:eastAsia="Courier New" w:hAnsi="Courier New"/>
          <w:sz w:val="16"/>
          <w:szCs w:val="16"/>
          <w:color w:val="auto"/>
        </w:rPr>
        <w:t>The companies in which Charter Oak invested pursuant to its U.K. Order do not have any losses attributable to operations. The Applicants presently do not have any other EWGs and FUCOs.</w:t>
      </w:r>
    </w:p>
    <w:p>
      <w:pPr>
        <w:spacing w:after="0" w:line="1" w:lineRule="exact"/>
        <w:rPr>
          <w:sz w:val="20"/>
          <w:szCs w:val="20"/>
          <w:color w:val="auto"/>
        </w:rPr>
      </w:pPr>
    </w:p>
    <w:p>
      <w:pPr>
        <w:ind w:right="2419"/>
        <w:spacing w:after="0" w:line="475" w:lineRule="auto"/>
        <w:rPr>
          <w:sz w:val="20"/>
          <w:szCs w:val="20"/>
          <w:color w:val="auto"/>
        </w:rPr>
      </w:pPr>
      <w:r>
        <w:rPr>
          <w:rFonts w:ascii="Courier New" w:cs="Courier New" w:eastAsia="Courier New" w:hAnsi="Courier New"/>
          <w:sz w:val="18"/>
          <w:szCs w:val="18"/>
          <w:color w:val="auto"/>
        </w:rPr>
        <w:t>The Paris, Texas cogeneration facility, in which Charter Oak has an interest, did not report losses attributable to operations during 1992. Accordingly, the present investments of the Applicants in EWGs and FUCOs as well as other power projects do not present a risk of substantial adverse impact as described in Sections 32 and 33 of the Act and Rule 53.</w:t>
      </w:r>
    </w:p>
    <w:p>
      <w:pPr>
        <w:spacing w:after="0" w:line="206" w:lineRule="exact"/>
        <w:rPr>
          <w:sz w:val="20"/>
          <w:szCs w:val="20"/>
          <w:color w:val="auto"/>
        </w:rPr>
      </w:pPr>
    </w:p>
    <w:p>
      <w:pPr>
        <w:ind w:left="1060" w:hanging="532"/>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Safe Harbor Provisions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being sought by the Applicants in this</w:t>
      </w:r>
    </w:p>
    <w:p>
      <w:pPr>
        <w:spacing w:after="0" w:line="207" w:lineRule="exact"/>
        <w:rPr>
          <w:sz w:val="20"/>
          <w:szCs w:val="20"/>
          <w:color w:val="auto"/>
        </w:rPr>
      </w:pPr>
    </w:p>
    <w:p>
      <w:pPr>
        <w:ind w:right="2319"/>
        <w:spacing w:after="0" w:line="536" w:lineRule="auto"/>
        <w:rPr>
          <w:sz w:val="20"/>
          <w:szCs w:val="20"/>
          <w:color w:val="auto"/>
        </w:rPr>
      </w:pPr>
      <w:r>
        <w:rPr>
          <w:rFonts w:ascii="Courier New" w:cs="Courier New" w:eastAsia="Courier New" w:hAnsi="Courier New"/>
          <w:sz w:val="16"/>
          <w:szCs w:val="16"/>
          <w:color w:val="auto"/>
        </w:rPr>
        <w:t>Amendment will allow the Applicants to finance an investment in an EWG without further Commission approval if two conditions are met: (i) the investment is within the $100 million authorization requested herein, and (ii) the investment satisfies the criteria in Rule 53(a)(1)-(4) and (b)(1)-(3). Accordingly, it is important that the Applicants ensure that subsections (a)(1)-(4) and (b)(1)-(3) of Rule 53 are satisfied before proceeding with the financing of an investment in an EWG without submitting an application on Form U-1 to obtain prior Commission approval.</w:t>
      </w:r>
    </w:p>
    <w:p>
      <w:pPr>
        <w:spacing w:after="0" w:line="3" w:lineRule="exact"/>
        <w:rPr>
          <w:sz w:val="20"/>
          <w:szCs w:val="20"/>
          <w:color w:val="auto"/>
        </w:rPr>
      </w:pPr>
    </w:p>
    <w:p>
      <w:pPr>
        <w:ind w:right="2419" w:firstLine="1053"/>
        <w:spacing w:after="0" w:line="541" w:lineRule="auto"/>
        <w:rPr>
          <w:sz w:val="20"/>
          <w:szCs w:val="20"/>
          <w:color w:val="auto"/>
        </w:rPr>
      </w:pPr>
      <w:r>
        <w:rPr>
          <w:rFonts w:ascii="Courier New" w:cs="Courier New" w:eastAsia="Courier New" w:hAnsi="Courier New"/>
          <w:sz w:val="16"/>
          <w:szCs w:val="16"/>
          <w:color w:val="auto"/>
        </w:rPr>
        <w:t>In conjunction with receipt of an order approving this Amendment, the Applicants will take certain steps to ensure compliance with Section 32 and the regulations promulgated thereunder. First, all employees of Charter Oak responsible for evaluating potential EWG and FUCO investments will be briefed on the requirements of Section 32 and Rule 53. Second, in connection with evaluating an investment in an EWG or FUCO, the Charter Oak employees responsible for evaluating potential EWG and FUCO investments will prepare, for internal review, an analysis of the impact of the proposed investment on the requirements of Rule 53(a) and (b). Third, after preparing an analysis of the proposed investment, the Charter Oak employees</w:t>
      </w:r>
    </w:p>
    <w:p>
      <w:pPr>
        <w:sectPr>
          <w:pgSz w:w="11900" w:h="16838" w:orient="portrait"/>
          <w:cols w:equalWidth="0" w:num="1">
            <w:col w:w="9159"/>
          </w:cols>
          <w:pgMar w:left="1300" w:top="344"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responsible for evaluating the investment will consult with 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house counsel or outside counsel to confirm compliance with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of Section 32 and the regulations promulgated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thereunder.</w:t>
      </w:r>
      <w:r>
        <w:rPr>
          <w:sz w:val="20"/>
          <w:szCs w:val="20"/>
          <w:color w:val="auto"/>
        </w:rPr>
        <w:tab/>
      </w:r>
      <w:r>
        <w:rPr>
          <w:rFonts w:ascii="Courier New" w:cs="Courier New" w:eastAsia="Courier New" w:hAnsi="Courier New"/>
          <w:sz w:val="16"/>
          <w:szCs w:val="16"/>
          <w:color w:val="auto"/>
        </w:rPr>
        <w:t>These same procedures shall be followed with regard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any investments made pursuant to Section 33 of the Act and 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 that may be promulgated thereunder.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Applicants are not requesting approval for the use 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 operating company employees for the rendering of services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affiliated EWGs and FUCOs, and no such use of employees will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occur without prior Commission approval unless expressly</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permitted under the Act.</w:t>
      </w:r>
      <w:r>
        <w:rPr>
          <w:sz w:val="20"/>
          <w:szCs w:val="20"/>
          <w:color w:val="auto"/>
        </w:rPr>
        <w:tab/>
      </w:r>
      <w:r>
        <w:rPr>
          <w:rFonts w:ascii="Courier New" w:cs="Courier New" w:eastAsia="Courier New" w:hAnsi="Courier New"/>
          <w:sz w:val="16"/>
          <w:szCs w:val="16"/>
          <w:color w:val="auto"/>
        </w:rPr>
        <w:t>To the extent that any such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are necessary, they will be performed by Charter Oak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 (who are employees of Northeast Utilities Service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or other service company employees.</w:t>
      </w:r>
    </w:p>
    <w:p>
      <w:pPr>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7" w:lineRule="exact"/>
        <w:rPr>
          <w:sz w:val="20"/>
          <w:szCs w:val="20"/>
          <w:color w:val="auto"/>
        </w:rPr>
      </w:pPr>
    </w:p>
    <w:p>
      <w:pPr>
        <w:ind w:left="520" w:right="2319" w:hanging="419"/>
        <w:spacing w:after="0" w:line="270" w:lineRule="auto"/>
        <w:tabs>
          <w:tab w:leader="none" w:pos="500" w:val="left"/>
        </w:tabs>
        <w:rPr>
          <w:sz w:val="20"/>
          <w:szCs w:val="20"/>
          <w:color w:val="auto"/>
        </w:rPr>
      </w:pPr>
      <w:r>
        <w:rPr>
          <w:rFonts w:ascii="Courier New" w:cs="Courier New" w:eastAsia="Courier New" w:hAnsi="Courier New"/>
          <w:sz w:val="16"/>
          <w:szCs w:val="16"/>
          <w:color w:val="auto"/>
        </w:rPr>
        <w:t>The</w:t>
        <w:tab/>
        <w:t>Commission issued proposed rules relating to intrasystem service, sales and construction contracts involving EWGs and FUCOs in HCAR. No. 25887. The comment period has expired but the Commission has not yet promulgated, or taken any other action regarding, the proposed rules. The proposed rules would explicitly exclude intrasystem contracts involving EWGs and FUCOs from Rule 87's general exemption of intrasystem contracts. In its comment letter on the proposed rules, NU requested a modification of the proposed amendment to Rule 87 in order to allow for a partial safe harbor for contracts employing a de minimis percentage of system employees. In the event that the Commission issues rules that allow for such de minimis use of system employees, the Applicants would not seek Commission approval for use of system employees within such safe harbor.</w:t>
      </w:r>
    </w:p>
    <w:p>
      <w:pPr>
        <w:spacing w:after="0" w:line="200" w:lineRule="exact"/>
        <w:rPr>
          <w:sz w:val="20"/>
          <w:szCs w:val="20"/>
          <w:color w:val="auto"/>
        </w:rPr>
      </w:pPr>
    </w:p>
    <w:p>
      <w:pPr>
        <w:spacing w:after="0" w:line="383" w:lineRule="exact"/>
        <w:rPr>
          <w:sz w:val="20"/>
          <w:szCs w:val="20"/>
          <w:color w:val="auto"/>
        </w:rPr>
      </w:pPr>
    </w:p>
    <w:p>
      <w:pPr>
        <w:ind w:left="1060" w:hanging="532"/>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Books and Records</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Charter Oak will comply with Rule 53(a)(2) with regard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maintenance of books and records in connection 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 in EWGs and FUCOs authorized by this Amendment.</w:t>
      </w:r>
    </w:p>
    <w:p>
      <w:pPr>
        <w:spacing w:after="0" w:line="200" w:lineRule="exact"/>
        <w:rPr>
          <w:sz w:val="20"/>
          <w:szCs w:val="20"/>
          <w:color w:val="auto"/>
        </w:rPr>
      </w:pPr>
    </w:p>
    <w:p>
      <w:pPr>
        <w:spacing w:after="0" w:line="204" w:lineRule="exact"/>
        <w:rPr>
          <w:sz w:val="20"/>
          <w:szCs w:val="20"/>
          <w:color w:val="auto"/>
        </w:rPr>
      </w:pPr>
    </w:p>
    <w:p>
      <w:pPr>
        <w:ind w:left="1060" w:hanging="532"/>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of Activities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Charter Oak will report its use of the funds requested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herein in its quarterly reports of Charter Oak's activities to be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with the Commission pursuant to the December 30, 1992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Order.</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II.</w:t>
      </w:r>
      <w:r>
        <w:rPr>
          <w:sz w:val="20"/>
          <w:szCs w:val="20"/>
          <w:color w:val="auto"/>
        </w:rPr>
        <w:tab/>
      </w:r>
      <w:r>
        <w:rPr>
          <w:rFonts w:ascii="Courier New" w:cs="Courier New" w:eastAsia="Courier New" w:hAnsi="Courier New"/>
          <w:sz w:val="16"/>
          <w:szCs w:val="16"/>
          <w:color w:val="auto"/>
        </w:rPr>
        <w:t>FEES, COMMISSIONS AND EXPENSES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fees, commissions and expenses of NU and Charter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Oak expected to be paid or incurred, directly or indirectly, 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connection with this Amendment are estimated as follows: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Commission filing fee</w:t>
      </w:r>
    </w:p>
    <w:p>
      <w:pPr>
        <w:ind w:left="1160"/>
        <w:spacing w:after="0" w:line="238" w:lineRule="auto"/>
        <w:rPr>
          <w:sz w:val="20"/>
          <w:szCs w:val="20"/>
          <w:color w:val="auto"/>
        </w:rPr>
      </w:pPr>
      <w:r>
        <w:rPr>
          <w:rFonts w:ascii="Courier New" w:cs="Courier New" w:eastAsia="Courier New" w:hAnsi="Courier New"/>
          <w:sz w:val="18"/>
          <w:szCs w:val="18"/>
          <w:color w:val="auto"/>
        </w:rPr>
        <w:t>relating to Application</w:t>
      </w:r>
    </w:p>
    <w:p>
      <w:pPr>
        <w:ind w:left="1160"/>
        <w:spacing w:after="0"/>
        <w:tabs>
          <w:tab w:leader="none" w:pos="2720" w:val="left"/>
        </w:tabs>
        <w:rPr>
          <w:sz w:val="20"/>
          <w:szCs w:val="20"/>
          <w:color w:val="auto"/>
        </w:rPr>
      </w:pPr>
      <w:r>
        <w:rPr>
          <w:rFonts w:ascii="Courier New" w:cs="Courier New" w:eastAsia="Courier New" w:hAnsi="Courier New"/>
          <w:sz w:val="18"/>
          <w:szCs w:val="18"/>
          <w:color w:val="auto"/>
        </w:rPr>
        <w:t>on Form U-1</w:t>
      </w:r>
      <w:r>
        <w:rPr>
          <w:sz w:val="20"/>
          <w:szCs w:val="20"/>
          <w:color w:val="auto"/>
        </w:rPr>
        <w:tab/>
      </w:r>
      <w:r>
        <w:rPr>
          <w:rFonts w:ascii="Courier New" w:cs="Courier New" w:eastAsia="Courier New" w:hAnsi="Courier New"/>
          <w:sz w:val="16"/>
          <w:szCs w:val="16"/>
          <w:color w:val="auto"/>
        </w:rPr>
        <w:t>. . . . . . . . . . . . $ N/A</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Legal fees and expenses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 . . . . . . $8,000</w:t>
            </w:r>
          </w:p>
        </w:tc>
      </w:tr>
    </w:tbl>
    <w:p>
      <w:pPr>
        <w:sectPr>
          <w:pgSz w:w="11900" w:h="16838" w:orient="portrait"/>
          <w:cols w:equalWidth="0" w:num="1">
            <w:col w:w="9159"/>
          </w:cols>
          <w:pgMar w:left="1300" w:top="339" w:right="1440" w:bottom="0" w:gutter="0" w:footer="0" w:header="0"/>
        </w:sectPr>
      </w:pPr>
    </w:p>
    <w:bookmarkStart w:id="11" w:name="page12"/>
    <w:bookmarkEnd w:id="11"/>
    <w:p>
      <w:pPr>
        <w:ind w:left="1060"/>
        <w:spacing w:after="0"/>
        <w:rPr>
          <w:sz w:val="20"/>
          <w:szCs w:val="20"/>
          <w:color w:val="auto"/>
        </w:rPr>
      </w:pPr>
      <w:r>
        <w:rPr>
          <w:rFonts w:ascii="Courier New" w:cs="Courier New" w:eastAsia="Courier New" w:hAnsi="Courier New"/>
          <w:sz w:val="18"/>
          <w:szCs w:val="18"/>
          <w:color w:val="auto"/>
        </w:rPr>
        <w:t>Miscellaneous related expenses</w:t>
      </w:r>
    </w:p>
    <w:p>
      <w:pPr>
        <w:ind w:left="1060"/>
        <w:spacing w:after="0" w:line="238" w:lineRule="auto"/>
        <w:rPr>
          <w:sz w:val="20"/>
          <w:szCs w:val="20"/>
          <w:color w:val="auto"/>
        </w:rPr>
      </w:pPr>
      <w:r>
        <w:rPr>
          <w:rFonts w:ascii="Courier New" w:cs="Courier New" w:eastAsia="Courier New" w:hAnsi="Courier New"/>
          <w:sz w:val="18"/>
          <w:szCs w:val="18"/>
          <w:color w:val="auto"/>
        </w:rPr>
        <w:t>(such as telephone, courier and</w:t>
      </w:r>
    </w:p>
    <w:tbl>
      <w:tblPr>
        <w:tblLayout w:type="fixed"/>
        <w:tblInd w:w="106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Courier New" w:cs="Courier New" w:eastAsia="Courier New" w:hAnsi="Courier New"/>
                <w:sz w:val="18"/>
                <w:szCs w:val="18"/>
                <w:color w:val="auto"/>
              </w:rPr>
              <w:t>travel)</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 . . . . .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$500</w:t>
            </w:r>
          </w:p>
        </w:tc>
      </w:tr>
      <w:tr>
        <w:trPr>
          <w:trHeight w:val="405"/>
        </w:trPr>
        <w:tc>
          <w:tcPr>
            <w:tcW w:w="90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Total . . . . . .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$8,500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III. APPLICABLE STATUTORY PROVISIONS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sections of the Act and rules or exemptions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thereunder that Applicants consider applicable to the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and the basis for exemption therefrom are set forth</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below:</w:t>
      </w:r>
    </w:p>
    <w:p>
      <w:pPr>
        <w:spacing w:after="0" w:line="200" w:lineRule="exact"/>
        <w:rPr>
          <w:sz w:val="20"/>
          <w:szCs w:val="20"/>
          <w:color w:val="auto"/>
        </w:rPr>
      </w:pP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w:t>
            </w:r>
          </w:p>
        </w:tc>
        <w:tc>
          <w:tcPr>
            <w:tcW w:w="2960" w:type="dxa"/>
            <w:vAlign w:val="bottom"/>
          </w:tcPr>
          <w:p>
            <w:pPr>
              <w:ind w:left="260"/>
              <w:spacing w:after="0"/>
              <w:rPr>
                <w:sz w:val="20"/>
                <w:szCs w:val="20"/>
                <w:color w:val="auto"/>
              </w:rPr>
            </w:pPr>
            <w:r>
              <w:rPr>
                <w:rFonts w:ascii="Courier New" w:cs="Courier New" w:eastAsia="Courier New" w:hAnsi="Courier New"/>
                <w:sz w:val="18"/>
                <w:szCs w:val="18"/>
                <w:color w:val="auto"/>
              </w:rPr>
              <w:t>Authority for Charter</w:t>
            </w:r>
          </w:p>
        </w:tc>
        <w:tc>
          <w:tcPr>
            <w:tcW w:w="2040" w:type="dxa"/>
            <w:vAlign w:val="bottom"/>
          </w:tcPr>
          <w:p>
            <w:pPr>
              <w:ind w:left="160"/>
              <w:spacing w:after="0"/>
              <w:rPr>
                <w:sz w:val="20"/>
                <w:szCs w:val="20"/>
                <w:color w:val="auto"/>
              </w:rPr>
            </w:pPr>
            <w:r>
              <w:rPr>
                <w:rFonts w:ascii="Courier New" w:cs="Courier New" w:eastAsia="Courier New" w:hAnsi="Courier New"/>
                <w:sz w:val="18"/>
                <w:szCs w:val="18"/>
                <w:color w:val="auto"/>
              </w:rPr>
              <w:t>Sections 6(a), 7</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Oak and COE Development</w:t>
            </w:r>
          </w:p>
        </w:tc>
        <w:tc>
          <w:tcPr>
            <w:tcW w:w="2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32, Rule 53</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finance the</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acquisition of EWGs.</w:t>
            </w:r>
          </w:p>
        </w:tc>
        <w:tc>
          <w:tcPr>
            <w:tcW w:w="2040" w:type="dxa"/>
            <w:vAlign w:val="bottom"/>
          </w:tcPr>
          <w:p>
            <w:pPr>
              <w:spacing w:after="0"/>
              <w:rPr>
                <w:sz w:val="17"/>
                <w:szCs w:val="17"/>
                <w:color w:val="auto"/>
              </w:rPr>
            </w:pPr>
          </w:p>
        </w:tc>
      </w:tr>
      <w:tr>
        <w:trPr>
          <w:trHeight w:val="405"/>
        </w:trPr>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(ii)</w:t>
            </w:r>
          </w:p>
        </w:tc>
        <w:tc>
          <w:tcPr>
            <w:tcW w:w="2960" w:type="dxa"/>
            <w:vAlign w:val="bottom"/>
          </w:tcPr>
          <w:p>
            <w:pPr>
              <w:ind w:left="260"/>
              <w:spacing w:after="0"/>
              <w:rPr>
                <w:sz w:val="20"/>
                <w:szCs w:val="20"/>
                <w:color w:val="auto"/>
              </w:rPr>
            </w:pPr>
            <w:r>
              <w:rPr>
                <w:rFonts w:ascii="Courier New" w:cs="Courier New" w:eastAsia="Courier New" w:hAnsi="Courier New"/>
                <w:sz w:val="18"/>
                <w:szCs w:val="18"/>
                <w:color w:val="auto"/>
              </w:rPr>
              <w:t>Authority for Charter</w:t>
            </w:r>
          </w:p>
        </w:tc>
        <w:tc>
          <w:tcPr>
            <w:tcW w:w="2040" w:type="dxa"/>
            <w:vAlign w:val="bottom"/>
          </w:tcPr>
          <w:p>
            <w:pPr>
              <w:ind w:left="160"/>
              <w:spacing w:after="0"/>
              <w:rPr>
                <w:sz w:val="20"/>
                <w:szCs w:val="20"/>
                <w:color w:val="auto"/>
              </w:rPr>
            </w:pPr>
            <w:r>
              <w:rPr>
                <w:rFonts w:ascii="Courier New" w:cs="Courier New" w:eastAsia="Courier New" w:hAnsi="Courier New"/>
                <w:sz w:val="18"/>
                <w:szCs w:val="18"/>
                <w:color w:val="auto"/>
              </w:rPr>
              <w:t>Sections 6(a), 7</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Oak and COE Development</w:t>
            </w:r>
          </w:p>
        </w:tc>
        <w:tc>
          <w:tcPr>
            <w:tcW w:w="2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33, Rule 53</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make investments in</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finance the</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acquisition of FUCOs</w:t>
            </w:r>
          </w:p>
        </w:tc>
        <w:tc>
          <w:tcPr>
            <w:tcW w:w="2040" w:type="dxa"/>
            <w:vAlign w:val="bottom"/>
          </w:tcPr>
          <w:p>
            <w:pPr>
              <w:spacing w:after="0"/>
              <w:rPr>
                <w:sz w:val="17"/>
                <w:szCs w:val="17"/>
                <w:color w:val="auto"/>
              </w:rPr>
            </w:pPr>
          </w:p>
        </w:tc>
      </w:tr>
      <w:tr>
        <w:trPr>
          <w:trHeight w:val="405"/>
        </w:trPr>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(iii)</w:t>
            </w:r>
          </w:p>
        </w:tc>
        <w:tc>
          <w:tcPr>
            <w:tcW w:w="2960" w:type="dxa"/>
            <w:vAlign w:val="bottom"/>
          </w:tcPr>
          <w:p>
            <w:pPr>
              <w:ind w:left="260"/>
              <w:spacing w:after="0"/>
              <w:rPr>
                <w:sz w:val="20"/>
                <w:szCs w:val="20"/>
                <w:color w:val="auto"/>
              </w:rPr>
            </w:pPr>
            <w:r>
              <w:rPr>
                <w:rFonts w:ascii="Courier New" w:cs="Courier New" w:eastAsia="Courier New" w:hAnsi="Courier New"/>
                <w:sz w:val="18"/>
                <w:szCs w:val="18"/>
                <w:color w:val="auto"/>
              </w:rPr>
              <w:t>Authorization for</w:t>
            </w:r>
          </w:p>
        </w:tc>
        <w:tc>
          <w:tcPr>
            <w:tcW w:w="2040" w:type="dxa"/>
            <w:vAlign w:val="bottom"/>
          </w:tcPr>
          <w:p>
            <w:pPr>
              <w:ind w:left="160"/>
              <w:spacing w:after="0"/>
              <w:rPr>
                <w:sz w:val="20"/>
                <w:szCs w:val="20"/>
                <w:color w:val="auto"/>
              </w:rPr>
            </w:pPr>
            <w:r>
              <w:rPr>
                <w:rFonts w:ascii="Courier New" w:cs="Courier New" w:eastAsia="Courier New" w:hAnsi="Courier New"/>
                <w:sz w:val="18"/>
                <w:szCs w:val="18"/>
                <w:color w:val="auto"/>
              </w:rPr>
              <w:t>Sections 6(a)</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Charter Oak to obtain</w:t>
            </w:r>
          </w:p>
        </w:tc>
        <w:tc>
          <w:tcPr>
            <w:tcW w:w="2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7, Rule 50</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Debt Financing from non-</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affiliates</w:t>
            </w:r>
          </w:p>
        </w:tc>
        <w:tc>
          <w:tcPr>
            <w:tcW w:w="2040" w:type="dxa"/>
            <w:vAlign w:val="bottom"/>
          </w:tcPr>
          <w:p>
            <w:pPr>
              <w:spacing w:after="0"/>
              <w:rPr>
                <w:sz w:val="17"/>
                <w:szCs w:val="17"/>
                <w:color w:val="auto"/>
              </w:rPr>
            </w:pPr>
          </w:p>
        </w:tc>
      </w:tr>
      <w:tr>
        <w:trPr>
          <w:trHeight w:val="405"/>
        </w:trPr>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(iv)</w:t>
            </w:r>
          </w:p>
        </w:tc>
        <w:tc>
          <w:tcPr>
            <w:tcW w:w="2960" w:type="dxa"/>
            <w:vAlign w:val="bottom"/>
          </w:tcPr>
          <w:p>
            <w:pPr>
              <w:ind w:left="260"/>
              <w:spacing w:after="0"/>
              <w:rPr>
                <w:sz w:val="20"/>
                <w:szCs w:val="20"/>
                <w:color w:val="auto"/>
              </w:rPr>
            </w:pPr>
            <w:r>
              <w:rPr>
                <w:rFonts w:ascii="Courier New" w:cs="Courier New" w:eastAsia="Courier New" w:hAnsi="Courier New"/>
                <w:sz w:val="18"/>
                <w:szCs w:val="18"/>
                <w:color w:val="auto"/>
              </w:rPr>
              <w:t>Authorization for NU to</w:t>
            </w:r>
          </w:p>
        </w:tc>
        <w:tc>
          <w:tcPr>
            <w:tcW w:w="2040" w:type="dxa"/>
            <w:vAlign w:val="bottom"/>
          </w:tcPr>
          <w:p>
            <w:pPr>
              <w:ind w:left="160"/>
              <w:spacing w:after="0"/>
              <w:rPr>
                <w:sz w:val="20"/>
                <w:szCs w:val="20"/>
                <w:color w:val="auto"/>
              </w:rPr>
            </w:pPr>
            <w:r>
              <w:rPr>
                <w:rFonts w:ascii="Courier New" w:cs="Courier New" w:eastAsia="Courier New" w:hAnsi="Courier New"/>
                <w:sz w:val="18"/>
                <w:szCs w:val="18"/>
                <w:color w:val="auto"/>
                <w:w w:val="95"/>
              </w:rPr>
              <w:t>Sections 9(a), 10,</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 up to $100</w:t>
            </w:r>
          </w:p>
        </w:tc>
        <w:tc>
          <w:tcPr>
            <w:tcW w:w="2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12(b), Rules 45(a)</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million in Charter Oak</w:t>
            </w:r>
          </w:p>
        </w:tc>
        <w:tc>
          <w:tcPr>
            <w:tcW w:w="2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45(b)(1)</w:t>
            </w: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Charter Oak to</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 up to $100</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million in COE</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Development in the form</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acquisitions of</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common stock, capital</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contributions, open</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account advances and</w:t>
            </w:r>
          </w:p>
        </w:tc>
        <w:tc>
          <w:tcPr>
            <w:tcW w:w="2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2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subordinated loans.</w:t>
            </w:r>
          </w:p>
        </w:tc>
        <w:tc>
          <w:tcPr>
            <w:tcW w:w="20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REGULATORY APPROVAL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 commission, other than this Commission,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jurisdiction over any of the proposed transactions described in</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this Amendment.</w:t>
      </w:r>
      <w:r>
        <w:rPr>
          <w:sz w:val="20"/>
          <w:szCs w:val="20"/>
          <w:color w:val="auto"/>
        </w:rPr>
        <w:tab/>
      </w:r>
      <w:r>
        <w:rPr>
          <w:rFonts w:ascii="Courier New" w:cs="Courier New" w:eastAsia="Courier New" w:hAnsi="Courier New"/>
          <w:sz w:val="16"/>
          <w:szCs w:val="16"/>
          <w:color w:val="auto"/>
        </w:rPr>
        <w:t>Pursuant to Rule 53(a)(4), the Applicants will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 this Amendment with the Connecticut Department of Public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Utility Control, the Massachusetts Department of Public Utilities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New Hampshire Public Utilities Commission.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PROCEDURE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 September 17, 1993, the Commission issued and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published the requisite notice under Rule 23 with respect to the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of this request for authority and no intervention occurred</w:t>
      </w:r>
    </w:p>
    <w:p>
      <w:pPr>
        <w:spacing w:after="0" w:line="218"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within the specified time period.</w:t>
      </w:r>
      <w:r>
        <w:rPr>
          <w:sz w:val="20"/>
          <w:szCs w:val="20"/>
          <w:color w:val="auto"/>
        </w:rPr>
        <w:tab/>
      </w:r>
      <w:r>
        <w:rPr>
          <w:rFonts w:ascii="Courier New" w:cs="Courier New" w:eastAsia="Courier New" w:hAnsi="Courier New"/>
          <w:sz w:val="16"/>
          <w:szCs w:val="16"/>
          <w:color w:val="auto"/>
        </w:rPr>
        <w:t>Consequently, we hereby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request that the Commission enter not later than February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1994 an appropriate order granting and permitting this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become effective.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Applicants respectfully request that appropriate and</w:t>
      </w:r>
    </w:p>
    <w:p>
      <w:pPr>
        <w:sectPr>
          <w:pgSz w:w="11900" w:h="16838" w:orient="portrait"/>
          <w:cols w:equalWidth="0" w:num="1">
            <w:col w:w="9159"/>
          </w:cols>
          <w:pgMar w:left="1300" w:top="136"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timely action be taken by the Commission in this matter.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Applicants hereby waive any recommended decision by a hearing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or by any other responsible officer of the Commission and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waive the 30-day waiting period between issuance of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Commission's order and the date on which it is to become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since it is desired that the Commission's order, when</w:t>
      </w:r>
    </w:p>
    <w:p>
      <w:pPr>
        <w:spacing w:after="0" w:line="218"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issued, become effective forthwith.</w:t>
      </w:r>
      <w:r>
        <w:rPr>
          <w:sz w:val="20"/>
          <w:szCs w:val="20"/>
          <w:color w:val="auto"/>
        </w:rPr>
        <w:tab/>
      </w:r>
      <w:r>
        <w:rPr>
          <w:rFonts w:ascii="Courier New" w:cs="Courier New" w:eastAsia="Courier New" w:hAnsi="Courier New"/>
          <w:sz w:val="16"/>
          <w:szCs w:val="16"/>
          <w:color w:val="auto"/>
        </w:rPr>
        <w:t>Applicants hereby consent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Office of Public Utility Regulation within the Division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Investment Management may assist in the preparation of the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Commission's decision and/or order unless the Office opposes the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covered by this Amendment.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FINANCIAL STATEMENTS</w:t>
      </w:r>
    </w:p>
    <w:p>
      <w:pPr>
        <w:spacing w:after="0" w:line="201" w:lineRule="exact"/>
        <w:rPr>
          <w:sz w:val="20"/>
          <w:szCs w:val="20"/>
          <w:color w:val="auto"/>
        </w:rPr>
      </w:pPr>
    </w:p>
    <w:p>
      <w:pPr>
        <w:ind w:left="1580" w:hanging="525"/>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F-1</w:t>
      </w:r>
      <w:r>
        <w:rPr>
          <w:sz w:val="20"/>
          <w:szCs w:val="20"/>
          <w:color w:val="auto"/>
        </w:rPr>
        <w:tab/>
      </w:r>
      <w:r>
        <w:rPr>
          <w:rFonts w:ascii="Courier New" w:cs="Courier New" w:eastAsia="Courier New" w:hAnsi="Courier New"/>
          <w:sz w:val="16"/>
          <w:szCs w:val="16"/>
          <w:color w:val="auto"/>
        </w:rPr>
        <w:t>Opinion of Counsel (previously filed)</w:t>
      </w:r>
    </w:p>
    <w:p>
      <w:pPr>
        <w:spacing w:after="0" w:line="20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G-1</w:t>
      </w:r>
      <w:r>
        <w:rPr>
          <w:sz w:val="20"/>
          <w:szCs w:val="20"/>
          <w:color w:val="auto"/>
        </w:rPr>
        <w:tab/>
      </w:r>
      <w:r>
        <w:rPr>
          <w:rFonts w:ascii="Courier New" w:cs="Courier New" w:eastAsia="Courier New" w:hAnsi="Courier New"/>
          <w:sz w:val="16"/>
          <w:szCs w:val="16"/>
          <w:color w:val="auto"/>
        </w:rPr>
        <w:t>Proposed Form of Notice (previously filed)</w:t>
      </w:r>
    </w:p>
    <w:p>
      <w:pPr>
        <w:spacing w:after="0" w:line="201" w:lineRule="exact"/>
        <w:rPr>
          <w:sz w:val="20"/>
          <w:szCs w:val="20"/>
          <w:color w:val="auto"/>
        </w:rPr>
      </w:pPr>
    </w:p>
    <w:p>
      <w:pPr>
        <w:ind w:left="1580" w:hanging="525"/>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jc w:val="right"/>
        <w:ind w:right="4519"/>
        <w:spacing w:after="0"/>
        <w:tabs>
          <w:tab w:leader="none" w:pos="52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Balance Sheet (Actual and Pro</w:t>
      </w:r>
    </w:p>
    <w:p>
      <w:pPr>
        <w:jc w:val="right"/>
        <w:ind w:right="4519"/>
        <w:spacing w:after="0" w:line="238" w:lineRule="auto"/>
        <w:rPr>
          <w:sz w:val="20"/>
          <w:szCs w:val="20"/>
          <w:color w:val="auto"/>
        </w:rPr>
      </w:pPr>
      <w:r>
        <w:rPr>
          <w:rFonts w:ascii="Courier New" w:cs="Courier New" w:eastAsia="Courier New" w:hAnsi="Courier New"/>
          <w:sz w:val="18"/>
          <w:szCs w:val="18"/>
          <w:color w:val="auto"/>
        </w:rPr>
        <w:t>Forma) - NU (parent only), as</w:t>
      </w:r>
    </w:p>
    <w:p>
      <w:pPr>
        <w:ind w:left="1580"/>
        <w:spacing w:after="0"/>
        <w:rPr>
          <w:sz w:val="20"/>
          <w:szCs w:val="20"/>
          <w:color w:val="auto"/>
        </w:rPr>
      </w:pPr>
      <w:r>
        <w:rPr>
          <w:rFonts w:ascii="Courier New" w:cs="Courier New" w:eastAsia="Courier New" w:hAnsi="Courier New"/>
          <w:sz w:val="18"/>
          <w:szCs w:val="18"/>
          <w:color w:val="auto"/>
        </w:rPr>
        <w:t>of June 30, 1993 (previously filed)</w:t>
      </w:r>
    </w:p>
    <w:p>
      <w:pPr>
        <w:spacing w:after="0" w:line="206" w:lineRule="exact"/>
        <w:rPr>
          <w:sz w:val="20"/>
          <w:szCs w:val="20"/>
          <w:color w:val="auto"/>
        </w:rPr>
      </w:pPr>
    </w:p>
    <w:p>
      <w:pPr>
        <w:ind w:left="1580" w:right="2619" w:hanging="526"/>
        <w:spacing w:after="0" w:line="236" w:lineRule="auto"/>
        <w:tabs>
          <w:tab w:leader="none" w:pos="1560" w:val="left"/>
        </w:tabs>
        <w:rPr>
          <w:sz w:val="20"/>
          <w:szCs w:val="20"/>
          <w:color w:val="auto"/>
        </w:rPr>
      </w:pPr>
      <w:r>
        <w:rPr>
          <w:rFonts w:ascii="Courier New" w:cs="Courier New" w:eastAsia="Courier New" w:hAnsi="Courier New"/>
          <w:sz w:val="18"/>
          <w:szCs w:val="18"/>
          <w:color w:val="auto"/>
        </w:rPr>
        <w:t>1.2</w:t>
        <w:tab/>
        <w:t>Statement of Income (Actual and Pro Forma) - NU (parent only), as of June 30, 1993 (previously filed)</w:t>
      </w:r>
    </w:p>
    <w:p>
      <w:pPr>
        <w:spacing w:after="0" w:line="209" w:lineRule="exact"/>
        <w:rPr>
          <w:sz w:val="20"/>
          <w:szCs w:val="20"/>
          <w:color w:val="auto"/>
        </w:rPr>
      </w:pPr>
    </w:p>
    <w:p>
      <w:pPr>
        <w:ind w:left="1580" w:right="2319" w:hanging="526"/>
        <w:spacing w:after="0" w:line="236" w:lineRule="auto"/>
        <w:tabs>
          <w:tab w:leader="none" w:pos="1560" w:val="left"/>
        </w:tabs>
        <w:rPr>
          <w:sz w:val="20"/>
          <w:szCs w:val="20"/>
          <w:color w:val="auto"/>
        </w:rPr>
      </w:pPr>
      <w:r>
        <w:rPr>
          <w:rFonts w:ascii="Courier New" w:cs="Courier New" w:eastAsia="Courier New" w:hAnsi="Courier New"/>
          <w:sz w:val="18"/>
          <w:szCs w:val="18"/>
          <w:color w:val="auto"/>
        </w:rPr>
        <w:t>2.1</w:t>
        <w:tab/>
        <w:t>Balance Sheet (Actual and Pro Forma) - Charter Oak (consolidated), as of June 30, 1993 (previously filed)</w:t>
      </w:r>
    </w:p>
    <w:p>
      <w:pPr>
        <w:spacing w:after="0" w:line="209" w:lineRule="exact"/>
        <w:rPr>
          <w:sz w:val="20"/>
          <w:szCs w:val="20"/>
          <w:color w:val="auto"/>
        </w:rPr>
      </w:pPr>
    </w:p>
    <w:p>
      <w:pPr>
        <w:ind w:left="1580" w:right="2619" w:hanging="526"/>
        <w:spacing w:after="0" w:line="236" w:lineRule="auto"/>
        <w:tabs>
          <w:tab w:leader="none" w:pos="1560" w:val="left"/>
        </w:tabs>
        <w:rPr>
          <w:sz w:val="20"/>
          <w:szCs w:val="20"/>
          <w:color w:val="auto"/>
        </w:rPr>
      </w:pPr>
      <w:r>
        <w:rPr>
          <w:rFonts w:ascii="Courier New" w:cs="Courier New" w:eastAsia="Courier New" w:hAnsi="Courier New"/>
          <w:sz w:val="18"/>
          <w:szCs w:val="18"/>
          <w:color w:val="auto"/>
        </w:rPr>
        <w:t>2.2</w:t>
        <w:tab/>
        <w:t>Statement of Income (Actual and Pro Forma) - Charter Oak (consolidated), as of June 30, 1993 (previously filed)</w:t>
      </w:r>
    </w:p>
    <w:p>
      <w:pPr>
        <w:spacing w:after="0" w:line="209" w:lineRule="exact"/>
        <w:rPr>
          <w:sz w:val="20"/>
          <w:szCs w:val="20"/>
          <w:color w:val="auto"/>
        </w:rPr>
      </w:pPr>
    </w:p>
    <w:p>
      <w:pPr>
        <w:ind w:left="1580" w:right="2619" w:hanging="526"/>
        <w:spacing w:after="0" w:line="236" w:lineRule="auto"/>
        <w:tabs>
          <w:tab w:leader="none" w:pos="1560" w:val="left"/>
        </w:tabs>
        <w:rPr>
          <w:sz w:val="20"/>
          <w:szCs w:val="20"/>
          <w:color w:val="auto"/>
        </w:rPr>
      </w:pPr>
      <w:r>
        <w:rPr>
          <w:rFonts w:ascii="Courier New" w:cs="Courier New" w:eastAsia="Courier New" w:hAnsi="Courier New"/>
          <w:sz w:val="18"/>
          <w:szCs w:val="18"/>
          <w:color w:val="auto"/>
        </w:rPr>
        <w:t>3.1</w:t>
        <w:tab/>
        <w:t>Balance Sheet (Actual and Pro Forma) - NU (consolidated), as of June 30, 1993 (previously filed)</w:t>
      </w:r>
    </w:p>
    <w:p>
      <w:pPr>
        <w:spacing w:after="0" w:line="209" w:lineRule="exact"/>
        <w:rPr>
          <w:sz w:val="20"/>
          <w:szCs w:val="20"/>
          <w:color w:val="auto"/>
        </w:rPr>
      </w:pPr>
    </w:p>
    <w:p>
      <w:pPr>
        <w:jc w:val="both"/>
        <w:ind w:left="1580" w:right="2619" w:hanging="526"/>
        <w:spacing w:after="0" w:line="236" w:lineRule="auto"/>
        <w:tabs>
          <w:tab w:leader="none" w:pos="1560" w:val="left"/>
        </w:tabs>
        <w:rPr>
          <w:sz w:val="20"/>
          <w:szCs w:val="20"/>
          <w:color w:val="auto"/>
        </w:rPr>
      </w:pPr>
      <w:r>
        <w:rPr>
          <w:rFonts w:ascii="Courier New" w:cs="Courier New" w:eastAsia="Courier New" w:hAnsi="Courier New"/>
          <w:sz w:val="18"/>
          <w:szCs w:val="18"/>
          <w:color w:val="auto"/>
        </w:rPr>
        <w:t>3.2</w:t>
        <w:tab/>
        <w:t>Statement of Income (Actual and Pro Forma) - NU (consolidated), as of June 30, 1993 (previously filed)</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INFORMATION AS TO ENVIRONMENTAL EFFECTS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 of the matters that are the subject of this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involve a "major federal action" nor do they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"significantly affect the quality of the human environment" 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those terms are used in section 102(2)(C) of the National</w:t>
      </w:r>
    </w:p>
    <w:p>
      <w:pPr>
        <w:spacing w:after="0" w:line="20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Environmental Policy Act.</w:t>
      </w:r>
      <w:r>
        <w:rPr>
          <w:sz w:val="20"/>
          <w:szCs w:val="20"/>
          <w:color w:val="auto"/>
        </w:rPr>
        <w:tab/>
      </w:r>
      <w:r>
        <w:rPr>
          <w:rFonts w:ascii="Courier New" w:cs="Courier New" w:eastAsia="Courier New" w:hAnsi="Courier New"/>
          <w:sz w:val="16"/>
          <w:szCs w:val="16"/>
          <w:color w:val="auto"/>
        </w:rPr>
        <w:t>None of the transactions that are the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of this Amendment will result in changes in the operation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Applicants that will have an impact on the environment.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Applicants are not aware of any federal agency which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prepared or is preparing an environmental impact statement 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to the transactions which are the subject of this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w:t>
      </w:r>
    </w:p>
    <w:p>
      <w:pPr>
        <w:sectPr>
          <w:pgSz w:w="11900" w:h="16838" w:orient="portrait"/>
          <w:cols w:equalWidth="0" w:num="1">
            <w:col w:w="9159"/>
          </w:cols>
          <w:pgMar w:left="1300" w:top="136" w:right="1440" w:bottom="0" w:gutter="0" w:footer="0" w:header="0"/>
        </w:sectPr>
      </w:pPr>
    </w:p>
    <w:bookmarkStart w:id="13" w:name="page14"/>
    <w:bookmarkEnd w:id="13"/>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Pursuant to the requirements of the Public Utility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 Company Act of 1935, the undersigned companies have duly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caused this Amendment to be signed on their behalf by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undersigned thereunto duly authorized.</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NORTHEAST UTILITIES</w:t>
      </w:r>
    </w:p>
    <w:p>
      <w:pPr>
        <w:ind w:left="2640"/>
        <w:spacing w:after="0" w:line="238" w:lineRule="auto"/>
        <w:rPr>
          <w:sz w:val="20"/>
          <w:szCs w:val="20"/>
          <w:color w:val="auto"/>
        </w:rPr>
      </w:pPr>
      <w:r>
        <w:rPr>
          <w:rFonts w:ascii="Courier New" w:cs="Courier New" w:eastAsia="Courier New" w:hAnsi="Courier New"/>
          <w:sz w:val="18"/>
          <w:szCs w:val="18"/>
          <w:color w:val="auto"/>
        </w:rPr>
        <w:t>CHARTER OAK ENERGY, INC.</w:t>
      </w:r>
    </w:p>
    <w:p>
      <w:pPr>
        <w:ind w:left="2640"/>
        <w:spacing w:after="0"/>
        <w:rPr>
          <w:sz w:val="20"/>
          <w:szCs w:val="20"/>
          <w:color w:val="auto"/>
        </w:rPr>
      </w:pPr>
      <w:r>
        <w:rPr>
          <w:rFonts w:ascii="Courier New" w:cs="Courier New" w:eastAsia="Courier New" w:hAnsi="Courier New"/>
          <w:sz w:val="18"/>
          <w:szCs w:val="18"/>
          <w:color w:val="auto"/>
        </w:rPr>
        <w:t>COE DEVELOPMENT CORPORATION</w:t>
      </w:r>
    </w:p>
    <w:p>
      <w:pPr>
        <w:spacing w:after="0" w:line="200" w:lineRule="exact"/>
        <w:rPr>
          <w:sz w:val="20"/>
          <w:szCs w:val="20"/>
          <w:color w:val="auto"/>
        </w:rPr>
      </w:pPr>
    </w:p>
    <w:p>
      <w:pPr>
        <w:spacing w:after="0" w:line="203" w:lineRule="exact"/>
        <w:rPr>
          <w:sz w:val="20"/>
          <w:szCs w:val="20"/>
          <w:color w:val="auto"/>
        </w:rPr>
      </w:pPr>
    </w:p>
    <w:p>
      <w:pPr>
        <w:ind w:left="264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p>
    <w:p>
      <w:pPr>
        <w:ind w:left="3160"/>
        <w:spacing w:after="0" w:line="238" w:lineRule="auto"/>
        <w:rPr>
          <w:sz w:val="20"/>
          <w:szCs w:val="20"/>
          <w:color w:val="auto"/>
        </w:rPr>
      </w:pPr>
      <w:r>
        <w:rPr>
          <w:rFonts w:ascii="Courier New" w:cs="Courier New" w:eastAsia="Courier New" w:hAnsi="Courier New"/>
          <w:sz w:val="18"/>
          <w:szCs w:val="18"/>
          <w:color w:val="auto"/>
        </w:rPr>
        <w:t>William S. Lamb</w:t>
      </w:r>
    </w:p>
    <w:p>
      <w:pPr>
        <w:ind w:left="3160"/>
        <w:spacing w:after="0"/>
        <w:rPr>
          <w:sz w:val="20"/>
          <w:szCs w:val="20"/>
          <w:color w:val="auto"/>
        </w:rPr>
      </w:pPr>
      <w:r>
        <w:rPr>
          <w:rFonts w:ascii="Courier New" w:cs="Courier New" w:eastAsia="Courier New" w:hAnsi="Courier New"/>
          <w:sz w:val="18"/>
          <w:szCs w:val="18"/>
          <w:color w:val="auto"/>
        </w:rPr>
        <w:t>LeBoeuf, Lamb, Greene &amp; MacRae</w:t>
      </w:r>
    </w:p>
    <w:p>
      <w:pPr>
        <w:ind w:left="3160"/>
        <w:spacing w:after="0" w:line="237" w:lineRule="auto"/>
        <w:rPr>
          <w:sz w:val="20"/>
          <w:szCs w:val="20"/>
          <w:color w:val="auto"/>
        </w:rPr>
      </w:pPr>
      <w:r>
        <w:rPr>
          <w:rFonts w:ascii="Courier New" w:cs="Courier New" w:eastAsia="Courier New" w:hAnsi="Courier New"/>
          <w:sz w:val="18"/>
          <w:szCs w:val="18"/>
          <w:color w:val="auto"/>
        </w:rPr>
        <w:t>A Partnership Including</w:t>
      </w:r>
    </w:p>
    <w:p>
      <w:pPr>
        <w:ind w:left="3380"/>
        <w:spacing w:after="0" w:line="238" w:lineRule="auto"/>
        <w:rPr>
          <w:sz w:val="20"/>
          <w:szCs w:val="20"/>
          <w:color w:val="auto"/>
        </w:rPr>
      </w:pPr>
      <w:r>
        <w:rPr>
          <w:rFonts w:ascii="Courier New" w:cs="Courier New" w:eastAsia="Courier New" w:hAnsi="Courier New"/>
          <w:sz w:val="18"/>
          <w:szCs w:val="18"/>
          <w:color w:val="auto"/>
        </w:rPr>
        <w:t>Professional Corporations</w:t>
      </w:r>
    </w:p>
    <w:p>
      <w:pPr>
        <w:ind w:left="3160"/>
        <w:spacing w:after="0"/>
        <w:rPr>
          <w:sz w:val="20"/>
          <w:szCs w:val="20"/>
          <w:color w:val="auto"/>
        </w:rPr>
      </w:pPr>
      <w:r>
        <w:rPr>
          <w:rFonts w:ascii="Courier New" w:cs="Courier New" w:eastAsia="Courier New" w:hAnsi="Courier New"/>
          <w:sz w:val="18"/>
          <w:szCs w:val="18"/>
          <w:color w:val="auto"/>
        </w:rPr>
        <w:t>125 W. 55th Street</w:t>
      </w:r>
    </w:p>
    <w:p>
      <w:pPr>
        <w:ind w:left="3160"/>
        <w:spacing w:after="0"/>
        <w:tabs>
          <w:tab w:leader="none" w:pos="46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10019-4513</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Attorney for Northeast Utilities,</w:t>
      </w:r>
    </w:p>
    <w:p>
      <w:pPr>
        <w:ind w:left="3160"/>
        <w:spacing w:after="0" w:line="238" w:lineRule="auto"/>
        <w:rPr>
          <w:sz w:val="20"/>
          <w:szCs w:val="20"/>
          <w:color w:val="auto"/>
        </w:rPr>
      </w:pPr>
      <w:r>
        <w:rPr>
          <w:rFonts w:ascii="Courier New" w:cs="Courier New" w:eastAsia="Courier New" w:hAnsi="Courier New"/>
          <w:sz w:val="18"/>
          <w:szCs w:val="18"/>
          <w:color w:val="auto"/>
        </w:rPr>
        <w:t>Charter Oak Energy, Inc. and COE</w:t>
      </w:r>
    </w:p>
    <w:p>
      <w:pPr>
        <w:ind w:left="3160"/>
        <w:spacing w:after="0"/>
        <w:rPr>
          <w:sz w:val="20"/>
          <w:szCs w:val="20"/>
          <w:color w:val="auto"/>
        </w:rPr>
      </w:pPr>
      <w:r>
        <w:rPr>
          <w:rFonts w:ascii="Courier New" w:cs="Courier New" w:eastAsia="Courier New" w:hAnsi="Courier New"/>
          <w:sz w:val="18"/>
          <w:szCs w:val="18"/>
          <w:color w:val="auto"/>
        </w:rPr>
        <w:t>Development 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19, 1994</w:t>
      </w:r>
    </w:p>
    <w:sectPr>
      <w:pgSz w:w="11900" w:h="16838" w:orient="portrait"/>
      <w:cols w:equalWidth="0" w:num="1">
        <w:col w:w="9159"/>
      </w:cols>
      <w:pgMar w:left="130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1"/>
    </w:lvl>
  </w:abstractNum>
  <w:abstractNum w:abstractNumId="1">
    <w:nsid w:val="41B71EFB"/>
    <w:multiLevelType w:val="hybridMultilevel"/>
    <w:lvl w:ilvl="0">
      <w:lvlJc w:val="left"/>
      <w:lvlText w:val="%1."/>
      <w:numFmt w:val="upperLetter"/>
      <w:start w:val="2"/>
    </w:lvl>
  </w:abstractNum>
  <w:abstractNum w:abstractNumId="2">
    <w:nsid w:val="79E2A9E3"/>
    <w:multiLevelType w:val="hybridMultilevel"/>
    <w:lvl w:ilvl="0">
      <w:lvlJc w:val="left"/>
      <w:lvlText w:val="%1."/>
      <w:numFmt w:val="upperLetter"/>
      <w:start w:val="3"/>
    </w:lvl>
  </w:abstractNum>
  <w:abstractNum w:abstractNumId="3">
    <w:nsid w:val="7545E146"/>
    <w:multiLevelType w:val="hybridMultilevel"/>
    <w:lvl w:ilvl="0">
      <w:lvlJc w:val="left"/>
      <w:lvlText w:val="%1."/>
      <w:numFmt w:val="upperLetter"/>
      <w:start w:val="4"/>
    </w:lvl>
  </w:abstractNum>
  <w:abstractNum w:abstractNumId="4">
    <w:nsid w:val="515F007C"/>
    <w:multiLevelType w:val="hybridMultilevel"/>
    <w:lvl w:ilvl="0">
      <w:lvlJc w:val="left"/>
      <w:lvlText w:val="%1."/>
      <w:numFmt w:val="upperLetter"/>
      <w:start w:val="5"/>
    </w:lvl>
  </w:abstractNum>
  <w:abstractNum w:abstractNumId="5">
    <w:nsid w:val="5BD062C2"/>
    <w:multiLevelType w:val="hybridMultilevel"/>
    <w:lvl w:ilvl="0">
      <w:lvlJc w:val="left"/>
      <w:lvlText w:val="%1."/>
      <w:numFmt w:val="upperLetter"/>
      <w:start w:val="6"/>
    </w:lvl>
  </w:abstractNum>
  <w:abstractNum w:abstractNumId="6">
    <w:nsid w:val="12200854"/>
    <w:multiLevelType w:val="hybridMultilevel"/>
    <w:lvl w:ilvl="0">
      <w:lvlJc w:val="left"/>
      <w:lvlText w:val="%1."/>
      <w:numFmt w:val="upperLetter"/>
      <w:start w:val="7"/>
    </w:lvl>
  </w:abstractNum>
  <w:abstractNum w:abstractNumId="7">
    <w:nsid w:val="4DB127F8"/>
    <w:multiLevelType w:val="hybridMultilevel"/>
    <w:lvl w:ilvl="0">
      <w:lvlJc w:val="left"/>
      <w:lvlText w:val="%1."/>
      <w:numFmt w:val="upperLetter"/>
      <w:start w:val="8"/>
    </w:lvl>
  </w:abstractNum>
  <w:abstractNum w:abstractNumId="8">
    <w:nsid w:val="216231B"/>
    <w:multiLevelType w:val="hybridMultilevel"/>
    <w:lvl w:ilvl="0">
      <w:lvlJc w:val="left"/>
      <w:lvlText w:val="%1."/>
      <w:numFmt w:val="upperLetter"/>
      <w:start w:val="9"/>
    </w:lvl>
  </w:abstractNum>
  <w:abstractNum w:abstractNumId="9">
    <w:nsid w:val="1F16E9E8"/>
    <w:multiLevelType w:val="hybridMultilevel"/>
    <w:lvl w:ilvl="0">
      <w:lvlJc w:val="left"/>
      <w:lvlText w:val="%1."/>
      <w:numFmt w:val="upperLetter"/>
      <w:start w:val="10"/>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2019-12-13T05:56:17Z</dcterms:created>
  <dcterms:modified xsi:type="dcterms:W3CDTF">2019-12-13T05:56:17Z</dcterms:modified>
</cp:coreProperties>
</file>